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9_4seq1.xml.htm"/>
      <w:bookmarkStart w:id="1" w:name="kstm2620303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Yu (Kang)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Lead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21,392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2026, following completion of the Company's internal approval process. For purposes of the applicable award terms, the award has a deemed grant date of May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three approximately equal annual installments beginning on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Yu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823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3389</Characters>
  <CharactersWithSpaces>3959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