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001-33107</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CANADIAN SOLAR INC.</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4273 King Street East, Suite 102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Kitchener, Ontario, N2P 2E9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8" w:right="1440" w:bottom="1440" w:gutter="0" w:footer="0" w:header="0"/>
        </w:sectPr>
      </w:pPr>
    </w:p>
    <w:bookmarkStart w:id="1" w:name="page2"/>
    <w:bookmarkEnd w:id="1"/>
    <w:p>
      <w:pPr>
        <w:jc w:val="center"/>
        <w:ind w:right="-1100"/>
        <w:spacing w:after="0"/>
        <w:rPr>
          <w:sz w:val="20"/>
          <w:szCs w:val="20"/>
          <w:color w:val="auto"/>
        </w:rPr>
      </w:pPr>
      <w:r>
        <w:rPr>
          <w:rFonts w:ascii="Times New Roman" w:cs="Times New Roman" w:eastAsia="Times New Roman" w:hAnsi="Times New Roman"/>
          <w:sz w:val="18"/>
          <w:szCs w:val="18"/>
          <w:color w:val="auto"/>
        </w:rPr>
        <w:t>CANADIAN SOLAR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Form 6-K</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20.1 – Notice of Annual Meeting of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20.2 – Management Information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CANADIAN SOLAR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Shawn (Xiaohua) Qu</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 (Xiaohua) Qu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and CTO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ind w:right="3879"/>
        <w:spacing w:after="0"/>
        <w:rPr>
          <w:sz w:val="20"/>
          <w:szCs w:val="20"/>
          <w:color w:val="auto"/>
        </w:rPr>
      </w:pPr>
      <w:r>
        <w:rPr>
          <w:rFonts w:ascii="Times New Roman" w:cs="Times New Roman" w:eastAsia="Times New Roman" w:hAnsi="Times New Roman"/>
          <w:sz w:val="18"/>
          <w:szCs w:val="18"/>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20.1 – Notice of Annual Meeting of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20.2 – Management Information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CANADIAN SOLAR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4100 – 66 Wellington Street West – TD Bank Tower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Canada M5K 1B7</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an annual meeting of shareholders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of Canadian Solar Inc. (</w:t>
      </w:r>
      <w:r>
        <w:rPr>
          <w:rFonts w:ascii="Times New Roman" w:cs="Times New Roman" w:eastAsia="Times New Roman" w:hAnsi="Times New Roman"/>
          <w:sz w:val="18"/>
          <w:szCs w:val="18"/>
          <w:b w:val="1"/>
          <w:bCs w:val="1"/>
          <w:i w:val="1"/>
          <w:iCs w:val="1"/>
          <w:color w:val="auto"/>
        </w:rPr>
        <w:t>Corporation or Company</w:t>
      </w:r>
      <w:r>
        <w:rPr>
          <w:rFonts w:ascii="Times New Roman" w:cs="Times New Roman" w:eastAsia="Times New Roman" w:hAnsi="Times New Roman"/>
          <w:sz w:val="18"/>
          <w:szCs w:val="18"/>
          <w:color w:val="auto"/>
        </w:rPr>
        <w: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the head offices of the Corporation, 4273 King St. East, Suite 102, Kitchener, Ontario N2P 2E9 on Tuesday, June 30, 2026 at 10:00 a.m. (local time) for the following purposes:</w:t>
      </w:r>
    </w:p>
    <w:p>
      <w:pPr>
        <w:spacing w:after="0" w:line="175" w:lineRule="exact"/>
        <w:rPr>
          <w:sz w:val="20"/>
          <w:szCs w:val="20"/>
          <w:color w:val="auto"/>
        </w:rPr>
      </w:pPr>
    </w:p>
    <w:p>
      <w:pPr>
        <w:ind w:left="1300" w:hanging="644"/>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the audited consolidated financial statements of the Corporation for the financial year ended December 31, 2025 and the auditors’ report thereon;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directors of the Corporation;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the auditors of the Corporation and to authorize the directors to fix their remuneration;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properly may be brought before the Meeting or any adjournment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matters to be dealt with at the Meeting are described in the Circular.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of record on May 18, 2026 are entitled to receive notice of and vote at the Meeting.</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Shareholders are entitled to appoint a proxy to attend and act for and on behalf of them at the Meeting. Shareholders who are unable to attend the Meeting in person and who wish to ensure that their common shares are voted at the Meeting are requested to complete, sign and return the accompanying form of proxy in accordance with the instructions set out therein and in the Circular.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May 22, 2026</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173990</wp:posOffset>
            </wp:positionV>
            <wp:extent cx="2040255"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402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Shawn (Xiaohua) Qu</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Executive Chairman of the Board and Chief Technology Officer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INFORMATION CIRCULAR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Certain information contained in this management information circular (</w:t>
      </w:r>
      <w:r>
        <w:rPr>
          <w:rFonts w:ascii="Times New Roman" w:cs="Times New Roman" w:eastAsia="Times New Roman" w:hAnsi="Times New Roman"/>
          <w:sz w:val="18"/>
          <w:szCs w:val="18"/>
          <w:b w:val="1"/>
          <w:bCs w:val="1"/>
          <w:i w:val="1"/>
          <w:iCs w:val="1"/>
          <w:color w:val="auto"/>
        </w:rPr>
        <w:t>Circular</w:t>
      </w:r>
      <w:r>
        <w:rPr>
          <w:rFonts w:ascii="Times New Roman" w:cs="Times New Roman" w:eastAsia="Times New Roman" w:hAnsi="Times New Roman"/>
          <w:sz w:val="18"/>
          <w:szCs w:val="18"/>
          <w:color w:val="auto"/>
        </w:rPr>
        <w:t>) has been incorporated by reference from the annual report on Form 20-F (</w:t>
      </w:r>
      <w:r>
        <w:rPr>
          <w:rFonts w:ascii="Times New Roman" w:cs="Times New Roman" w:eastAsia="Times New Roman" w:hAnsi="Times New Roman"/>
          <w:sz w:val="18"/>
          <w:szCs w:val="18"/>
          <w:b w:val="1"/>
          <w:bCs w:val="1"/>
          <w:i w:val="1"/>
          <w:iCs w:val="1"/>
          <w:color w:val="auto"/>
        </w:rPr>
        <w:t>Form 20-F</w:t>
      </w:r>
      <w:r>
        <w:rPr>
          <w:rFonts w:ascii="Times New Roman" w:cs="Times New Roman" w:eastAsia="Times New Roman" w:hAnsi="Times New Roman"/>
          <w:sz w:val="18"/>
          <w:szCs w:val="18"/>
          <w:color w:val="auto"/>
        </w:rPr>
        <w:t>) of Canadian Solar Inc.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for the year ended December 31, 2025, which has been filed with the United States Securities and Exchange Commission and is attached hereto as Schedule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Circular is furnished in connection with the solicitation of proxies by management of the Corporation for use at an annual meeting of shareholders of the Corporation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to be held at the time and place and for the purposes set forth in the notice of meeting accompanying this Circular.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solicitation of proxies will be primarily by mail, but proxies may also be solicited by telephone, in writing or in person by the directors, officers and regular employees of the Corporation. The Corporation may also use the services of a proxy solicitation firm. The cost of the solicitation of proxies will be borne by the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Proxies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individuals named in the accompanying form of proxy are officers of the Corporation.</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shareholder has the right to appoint a person (who need not be a shareholder) other than the individuals named in the accompanying form of proxy to be the proxy of the shareholder at the Meeting and may exercise this right either by inserting that person’s name in the blank space provided in the accompanying form of proxy or by completing another proper form of proxy. </w:t>
      </w:r>
      <w:r>
        <w:rPr>
          <w:rFonts w:ascii="Times New Roman" w:cs="Times New Roman" w:eastAsia="Times New Roman" w:hAnsi="Times New Roman"/>
          <w:sz w:val="18"/>
          <w:szCs w:val="18"/>
          <w:color w:val="auto"/>
        </w:rPr>
        <w:t>To be effective, completed proxies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by Computershare Trust Co. Inc. (</w:t>
      </w:r>
      <w:r>
        <w:rPr>
          <w:rFonts w:ascii="Times New Roman" w:cs="Times New Roman" w:eastAsia="Times New Roman" w:hAnsi="Times New Roman"/>
          <w:sz w:val="18"/>
          <w:szCs w:val="18"/>
          <w:b w:val="1"/>
          <w:bCs w:val="1"/>
          <w:i w:val="1"/>
          <w:iCs w:val="1"/>
          <w:color w:val="auto"/>
        </w:rPr>
        <w:t>Computershare</w:t>
      </w:r>
      <w:r>
        <w:rPr>
          <w:rFonts w:ascii="Times New Roman" w:cs="Times New Roman" w:eastAsia="Times New Roman" w:hAnsi="Times New Roman"/>
          <w:sz w:val="18"/>
          <w:szCs w:val="18"/>
          <w:color w:val="auto"/>
        </w:rPr>
        <w:t>) by mail, in the enclosed return envelope, at least 48 hours (excluding Saturdays, Sundays and holidays) before the time of the Meeting or any adjournment thereof or be deposited with the chairman of the Meeting before the commencement of the Meeting or any adjournment thereof.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Proxies given by shareholders for use at the Meeting may be revoked at any time before their use. In addition to revocation in any manner permitted by law, a proxy may be revoked by depositing an instrument in writing signed by the shareholder or by the shareholder’s attorney duly authorized in writing with Computershare by mail or overnight delivery to Computershare, 150 Royal Street, Suite 101, Canton, Massachusetts, 02021, United States of America, Attention: Proxy Department, at least 48 hours (excluding Saturdays, Sundays and holidays) before the time of the Meeting or any adjournment thereof or be deposited with the chairman of the Meeting before the commencement of the Meeting or any adjournment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Voting and Discretion of Proxies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common shares represented by the proxies solicited by management pursuant to this Circular will be voted in accordance with the directions contained therein.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no directions are contained therein, the common shares will be voted FOR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each of the seven (7) nominees for election as director named in the Circular;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Deloitte Touche Tohmatsu Certified Public Accountants LLP as the auditors of the Corporation and the authorization of the directors of the Corporation to fix their remuneration;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form of proxy confers discretionary authority on the persons named therein in respect of amendments or variations to the matters referred to in this Circular and in respect of other matters that may properly come before the Meeting or any adjournment thereof. Management of the Corporation knows of no such amendments or variations or other matters that may properly come before the Meeting but, if any such amendments or variations or other matters properly come before the Meeting, the persons named in the accompanying form of proxy will vote thereon in accordance with their best judgement.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Shareholders of record on May 18, 2026 are entitled to receive notice of and vote at the Meeting. The authorized capital of the Corporation consists of an unlimited number of common shares. As of May 18, 2026, there were 67,896,749 common shares outstanding. All of the outstanding common shares may be voted at the Meeting. Shareholders are entitled to one vote for each common share held by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knowledge of the directors and executive officers of the Corporation, the only persons who beneficially own, directly or indirectly, or exercise control or direction over voting securities of the Corporation carrying 5% or more of the voting rights attached to any class of voting securities of the Corporation are set out in Item 6E “Share Ownership” of the Form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Approvals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election of directors and the appointment of auditors require the approval of a majority of the votes cast on the matter by those shareholders of the Corporation present in person or by proxy at the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MATTERS TO BE ACTED UPON AT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BUSINESS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the Corporation for the financial year ended December 31, 2025, together with the auditors’ report thereon and the notes thereto, accompany this Circular and will be submitted to the Meeting. Receipt of the audited consolidated financial statements will not constitute approval or disapproval of any matters referred to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articles of the Corporation require that the Corporation have a minimum of three directors and a maximum of ten directors. The articles of the Corporation provide that the actual number of directors within the specified minimum and maximum may be determined from time to time by resolution of the directors. The board of directors of the Corporation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by resolution fixed the number of directors of the Corporation to be elected at the Meeting at seven (7). The term of office of each of the current directors will expire at the close of the Meeting. The term of office of each of the directors elected at the Meeting will expire at the close of the annual meeting of shareholders following the Meeting, or until their successors are duly elected or appointed in accordance with the Articles or until such director’s earlier death, resignation or removal.</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of the Corporation proposes to nominate the seven (7) individuals named below for election as directors of the Corporation. The Corporation has not received notice, and management of the Corporation is not aware, of any other nominees for election as directors of the Corporation. Shareholders may vote for all of the nominees named below, vote for one or more of them and withhold their vote for others of them, or withhold their vote for all of them. At the Meeting, shareholders will be asked to pass an ordinary resolution to approve the appointment of the seven (7) nominees set forth below as directors of the Corporation. An ordinary resolution needs to be passed by a simple majority of the votes cast by the shareholders present in person or represented by proxy and entitled to vote at the Meeting.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Corporation’s Corporate Governance Guidelines, any nominee for election as a director of the Corporation in an uncontested election who receives, from common shares voted in person or by proxy at the Meeting, a greater number of shares withheld than shares voted in their favour for election as a director must promptly tender their resignation to the Chairman of the Board, such resignation to take effect on acceptance by the Board. The Nominating and Corporate Governance Committee of the Board will expeditiously consider the director’s offer to resign and make a recommendation to the Board on whether to accept it. In considering the director’s offer to resign and making its recommendation, the Nominating and Corporate Governance Committee will evaluate the best interests of the Corporation and its shareholders and will consider a number of factors, including alternatives to cure the underlying cause of the votes withheld, the experience/expertise of the director, the overall composition of the Board and whether accepting the resignation would cause the Corporation to fail to satisfy any listing or regulatory requirement. The Board will have 90 days after the date of the Meeting to make a final decision and announce it by way of press release. A director who tenders their resignation may not participate in the deliberations of the Nominating and Corporate Governance Committee or the Board on whether to accept their resignation offer.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out the name and city, province or state, and country of residence of each individual proposed to be nominated for election as a director of the Corporation at the Meeting and their current position with the Corporation. It also sets out information with respect to the individual’s equity ownership, current membership on Board committees, other public board memberships held in the past five years, areas of expertise/experience and, where applicable, Board and Board committee meeting attendance during the 12 months ended December 31,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information can be found in Item 6A “Directors, Senior Management and Employees”, Item 6C “Board Practices ─ Committees of the Board of Directors” and Item 6E “Share Ownership” of Form 20-F.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Dr. Shawn (Xiaohua) Qu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Municipality of residence</w:t>
      </w:r>
      <w:r>
        <w:rPr>
          <w:rFonts w:ascii="Times New Roman" w:cs="Times New Roman" w:eastAsia="Times New Roman" w:hAnsi="Times New Roman"/>
          <w:sz w:val="17"/>
          <w:szCs w:val="17"/>
          <w:color w:val="auto"/>
        </w:rPr>
        <w:t>: Singapore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Citizenship</w:t>
      </w:r>
      <w:r>
        <w:rPr>
          <w:rFonts w:ascii="Times New Roman" w:cs="Times New Roman" w:eastAsia="Times New Roman" w:hAnsi="Times New Roman"/>
          <w:sz w:val="18"/>
          <w:szCs w:val="18"/>
          <w:color w:val="auto"/>
        </w:rPr>
        <w:t>: Canadian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Non-independent</w:t>
      </w:r>
    </w:p>
    <w:p>
      <w:pPr>
        <w:spacing w:after="0" w:line="20" w:lineRule="exact"/>
        <w:rPr>
          <w:sz w:val="20"/>
          <w:szCs w:val="20"/>
          <w:color w:val="auto"/>
        </w:rPr>
      </w:pPr>
      <w:r>
        <w:rPr>
          <w:sz w:val="20"/>
          <w:szCs w:val="20"/>
          <w:color w:val="auto"/>
        </w:rPr>
        <w:br w:type="column"/>
      </w:r>
    </w:p>
    <w:p>
      <w:pPr>
        <w:jc w:val="both"/>
        <w:ind w:left="60" w:right="60"/>
        <w:spacing w:after="0" w:line="252" w:lineRule="auto"/>
        <w:rPr>
          <w:sz w:val="20"/>
          <w:szCs w:val="20"/>
          <w:color w:val="auto"/>
        </w:rPr>
      </w:pPr>
      <w:r>
        <w:rPr>
          <w:rFonts w:ascii="Times New Roman" w:cs="Times New Roman" w:eastAsia="Times New Roman" w:hAnsi="Times New Roman"/>
          <w:sz w:val="18"/>
          <w:szCs w:val="18"/>
          <w:color w:val="auto"/>
        </w:rPr>
        <w:t>Dr. Shawn (Xiaohua) Qu founded Canadian Solar Inc. in Ontario, Canada in 2001 and was the Chairman and Chief Executive Officer of our Company, until becoming Executive Chairman and Chief Technology Officer in May 2026. He is also the Chairman of CSI Solar, and has been serving as a director of CSI Solar since September 2020. Canadian Solar went public on the Nasdaq in 2006 and is one of the world’s largest solar technology and renewable energy companies, with more than 12,000 employees globally. We are a leading manufacturer of solar photovoltaic modules, provider of solar energy and battery energy storage solutions, and developer of utility-scale solar power and battery energy storage projects with a geographically diversified pipeline in various stages of development. Over the past 25 years, our products and services have benefited thousands of customers in over 160 countries, and provided clean electricity to millions of households. Prior to founding Canadian Solar, Dr. Qu worked at ATS Automation Tooling Systems in Canada and its subsidiary Photowatt International in France. Before that, Dr. Qu was a Research Scientist at Ontario Hydro (now Ontario Power Generation). Dr. Qu received the EY Sustainability Excellence Award 2023 for individuals and was named an Innovator on the TIME100 Climate List of the 100 most influential leaders driving business climate action of 2024. Dr. Qu received a BSc degree from Tsinghua University, an MSc degree in Physics from the University of Manitoba and a PhD degree in Materials Science from the University of Toronto. Dr. Qu continued working as a postdoctoral researcher at the University of Toronto, focusing on semiconductor optical devices and photovoltaic cells. Dr. Qu has been a fellow of Canadian Academy of Engineering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-2523490</wp:posOffset>
            </wp:positionV>
            <wp:extent cx="7132320" cy="5057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057775"/>
                    </a:xfrm>
                    <a:prstGeom prst="rect">
                      <a:avLst/>
                    </a:prstGeom>
                    <a:noFill/>
                  </pic:spPr>
                </pic:pic>
              </a:graphicData>
            </a:graphic>
          </wp:anchor>
        </w:drawing>
      </w:r>
    </w:p>
    <w:p>
      <w:pPr>
        <w:spacing w:after="0" w:line="1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Areas of expertise/experience</w:t>
      </w:r>
    </w:p>
    <w:p>
      <w:pPr>
        <w:spacing w:after="0" w:line="81" w:lineRule="exact"/>
        <w:rPr>
          <w:sz w:val="20"/>
          <w:szCs w:val="20"/>
          <w:color w:val="auto"/>
        </w:rPr>
      </w:pPr>
    </w:p>
    <w:p>
      <w:pPr>
        <w:ind w:left="220" w:hanging="151"/>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Leadership                          ● Industry</w:t>
      </w:r>
    </w:p>
    <w:p>
      <w:pPr>
        <w:spacing w:after="0" w:line="27" w:lineRule="exact"/>
        <w:rPr>
          <w:rFonts w:ascii="Times New Roman" w:cs="Times New Roman" w:eastAsia="Times New Roman" w:hAnsi="Times New Roman"/>
          <w:sz w:val="18"/>
          <w:szCs w:val="18"/>
          <w:color w:val="auto"/>
        </w:rPr>
      </w:pPr>
    </w:p>
    <w:p>
      <w:pPr>
        <w:ind w:left="220" w:hanging="151"/>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 Technology</w:t>
      </w:r>
    </w:p>
    <w:p>
      <w:pPr>
        <w:spacing w:after="0" w:line="135" w:lineRule="exact"/>
        <w:rPr>
          <w:sz w:val="20"/>
          <w:szCs w:val="20"/>
          <w:color w:val="auto"/>
        </w:rPr>
      </w:pPr>
    </w:p>
    <w:p>
      <w:pPr>
        <w:ind w:left="60" w:right="338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Other public company directorships in the past five years </w:t>
      </w:r>
      <w:r>
        <w:rPr>
          <w:rFonts w:ascii="Times New Roman" w:cs="Times New Roman" w:eastAsia="Times New Roman" w:hAnsi="Times New Roman"/>
          <w:sz w:val="18"/>
          <w:szCs w:val="18"/>
          <w:color w:val="auto"/>
        </w:rPr>
        <w:t>None</w:t>
      </w:r>
    </w:p>
    <w:tbl>
      <w:tblPr>
        <w:tblLayout w:type="fixed"/>
        <w:tblInd w:w="0" w:type="dxa"/>
        <w:tblCellMar>
          <w:top w:w="0" w:type="dxa"/>
          <w:left w:w="0" w:type="dxa"/>
          <w:bottom w:w="0" w:type="dxa"/>
          <w:right w:w="0" w:type="dxa"/>
        </w:tblCellMar>
      </w:tblPr>
      <w:tr>
        <w:trPr>
          <w:trHeight w:val="278"/>
        </w:trPr>
        <w:tc>
          <w:tcPr>
            <w:tcW w:w="2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Board/Committee Membership</w:t>
            </w:r>
          </w:p>
        </w:tc>
        <w:tc>
          <w:tcPr>
            <w:tcW w:w="236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18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Attendance</w:t>
            </w:r>
          </w:p>
        </w:tc>
        <w:tc>
          <w:tcPr>
            <w:tcW w:w="880" w:type="dxa"/>
            <w:vAlign w:val="bottom"/>
            <w:tcBorders>
              <w:top w:val="single" w:sz="8" w:color="auto"/>
            </w:tcBorders>
          </w:tcPr>
          <w:p>
            <w:pPr>
              <w:spacing w:after="0"/>
              <w:rPr>
                <w:sz w:val="24"/>
                <w:szCs w:val="24"/>
                <w:color w:val="auto"/>
              </w:rPr>
            </w:pPr>
          </w:p>
        </w:tc>
      </w:tr>
      <w:tr>
        <w:trPr>
          <w:trHeight w:val="67"/>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59"/>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w:t>
            </w:r>
          </w:p>
        </w:tc>
        <w:tc>
          <w:tcPr>
            <w:tcW w:w="23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12 of 12</w:t>
            </w: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Technology Committee</w:t>
            </w:r>
          </w:p>
        </w:tc>
        <w:tc>
          <w:tcPr>
            <w:tcW w:w="23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 of 1</w:t>
            </w: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67"/>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385"/>
        </w:trPr>
        <w:tc>
          <w:tcPr>
            <w:tcW w:w="2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Equity Ownership </w:t>
            </w:r>
            <w:r>
              <w:rPr>
                <w:rFonts w:ascii="Times New Roman" w:cs="Times New Roman" w:eastAsia="Times New Roman" w:hAnsi="Times New Roman"/>
                <w:sz w:val="29"/>
                <w:szCs w:val="29"/>
                <w:b w:val="1"/>
                <w:bCs w:val="1"/>
                <w:i w:val="1"/>
                <w:iCs w:val="1"/>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5"/>
        </w:trPr>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tc>
        <w:tc>
          <w:tcPr>
            <w:tcW w:w="23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100" w:type="dxa"/>
            <w:vAlign w:val="bottom"/>
          </w:tcPr>
          <w:p>
            <w:pPr>
              <w:spacing w:after="0"/>
              <w:rPr>
                <w:sz w:val="22"/>
                <w:szCs w:val="22"/>
                <w:color w:val="auto"/>
              </w:rPr>
            </w:pPr>
          </w:p>
        </w:tc>
        <w:tc>
          <w:tcPr>
            <w:tcW w:w="26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Restricted Share Units</w:t>
            </w:r>
          </w:p>
        </w:tc>
      </w:tr>
      <w:tr>
        <w:trPr>
          <w:trHeight w:val="238"/>
        </w:trPr>
        <w:tc>
          <w:tcPr>
            <w:tcW w:w="27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i w:val="1"/>
                <w:iCs w:val="1"/>
                <w:color w:val="auto"/>
                <w:w w:val="99"/>
              </w:rPr>
              <w:t>(RSUs)</w:t>
            </w:r>
          </w:p>
        </w:tc>
        <w:tc>
          <w:tcPr>
            <w:tcW w:w="880" w:type="dxa"/>
            <w:vAlign w:val="bottom"/>
          </w:tcPr>
          <w:p>
            <w:pPr>
              <w:spacing w:after="0"/>
              <w:rPr>
                <w:sz w:val="20"/>
                <w:szCs w:val="20"/>
                <w:color w:val="auto"/>
              </w:rPr>
            </w:pPr>
          </w:p>
        </w:tc>
      </w:tr>
      <w:tr>
        <w:trPr>
          <w:trHeight w:val="67"/>
        </w:trPr>
        <w:tc>
          <w:tcPr>
            <w:tcW w:w="272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399"/>
        </w:trPr>
        <w:tc>
          <w:tcPr>
            <w:tcW w:w="272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 xml:space="preserve">14,055,506 </w:t>
            </w:r>
            <w:r>
              <w:rPr>
                <w:rFonts w:ascii="Times New Roman" w:cs="Times New Roman" w:eastAsia="Times New Roman" w:hAnsi="Times New Roman"/>
                <w:sz w:val="29"/>
                <w:szCs w:val="29"/>
                <w:b w:val="1"/>
                <w:bCs w:val="1"/>
                <w:i w:val="1"/>
                <w:iCs w:val="1"/>
                <w:color w:val="auto"/>
                <w:vertAlign w:val="superscript"/>
              </w:rPr>
              <w:t>(2)</w:t>
            </w:r>
          </w:p>
        </w:tc>
        <w:tc>
          <w:tcPr>
            <w:tcW w:w="23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 xml:space="preserve">7,512 </w:t>
            </w:r>
            <w:r>
              <w:rPr>
                <w:rFonts w:ascii="Times New Roman" w:cs="Times New Roman" w:eastAsia="Times New Roman" w:hAnsi="Times New Roman"/>
                <w:sz w:val="29"/>
                <w:szCs w:val="29"/>
                <w:i w:val="1"/>
                <w:iCs w:val="1"/>
                <w:color w:val="auto"/>
                <w:vertAlign w:val="superscript"/>
              </w:rPr>
              <w:t>(2)</w:t>
            </w:r>
          </w:p>
        </w:tc>
        <w:tc>
          <w:tcPr>
            <w:tcW w:w="190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3"/>
              </w:rPr>
              <w:t xml:space="preserve">45,019 </w:t>
            </w:r>
            <w:r>
              <w:rPr>
                <w:rFonts w:ascii="Times New Roman" w:cs="Times New Roman" w:eastAsia="Times New Roman" w:hAnsi="Times New Roman"/>
                <w:sz w:val="29"/>
                <w:szCs w:val="29"/>
                <w:b w:val="1"/>
                <w:bCs w:val="1"/>
                <w:i w:val="1"/>
                <w:iCs w:val="1"/>
                <w:color w:val="auto"/>
                <w:w w:val="93"/>
                <w:vertAlign w:val="superscript"/>
              </w:rPr>
              <w:t>(2)</w:t>
            </w:r>
          </w:p>
        </w:tc>
        <w:tc>
          <w:tcPr>
            <w:tcW w:w="8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2760" w:space="540"/>
            <w:col w:w="7860"/>
          </w:cols>
          <w:pgMar w:left="400" w:top="985" w:right="339" w:bottom="1440" w:gutter="0" w:footer="0" w:header="0"/>
        </w:sectPr>
      </w:pP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31750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400" w:top="985" w:right="33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Professor Harry E. Ruda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67</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color w:val="auto"/>
        </w:rPr>
        <w:t>Municipality of residence</w:t>
      </w:r>
      <w:r>
        <w:rPr>
          <w:rFonts w:ascii="Times New Roman" w:cs="Times New Roman" w:eastAsia="Times New Roman" w:hAnsi="Times New Roman"/>
          <w:sz w:val="18"/>
          <w:szCs w:val="18"/>
          <w:color w:val="auto"/>
        </w:rPr>
        <w:t>: Toronto,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Ontario, Canada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Citizenship</w:t>
      </w:r>
      <w:r>
        <w:rPr>
          <w:rFonts w:ascii="Times New Roman" w:cs="Times New Roman" w:eastAsia="Times New Roman" w:hAnsi="Times New Roman"/>
          <w:sz w:val="18"/>
          <w:szCs w:val="18"/>
          <w:color w:val="auto"/>
        </w:rPr>
        <w:t>: Canadian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2011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w:t>
      </w:r>
    </w:p>
    <w:p>
      <w:pPr>
        <w:spacing w:after="0" w:line="20" w:lineRule="exact"/>
        <w:rPr>
          <w:sz w:val="20"/>
          <w:szCs w:val="20"/>
          <w:color w:val="auto"/>
        </w:rPr>
      </w:pPr>
      <w:r>
        <w:rPr>
          <w:sz w:val="20"/>
          <w:szCs w:val="20"/>
          <w:color w:val="auto"/>
        </w:rPr>
        <w:br w:type="column"/>
      </w:r>
    </w:p>
    <w:p>
      <w:pPr>
        <w:jc w:val="both"/>
        <w:ind w:left="60" w:right="60"/>
        <w:spacing w:after="0" w:line="252" w:lineRule="auto"/>
        <w:rPr>
          <w:sz w:val="20"/>
          <w:szCs w:val="20"/>
          <w:color w:val="auto"/>
        </w:rPr>
      </w:pPr>
      <w:r>
        <w:rPr>
          <w:rFonts w:ascii="Times New Roman" w:cs="Times New Roman" w:eastAsia="Times New Roman" w:hAnsi="Times New Roman"/>
          <w:sz w:val="18"/>
          <w:szCs w:val="18"/>
          <w:color w:val="auto"/>
        </w:rPr>
        <w:t>Professor Harry E. Ruda has served as an independent director of our Company since July 2011. He is the Director of the Centre for Advanced Nanotechnology, the Stanley Meek Chair in Nanotechnology and Professor of Applied Science and Engineering at the University of Toronto, Canada. From 1982 to 1984, he developed one of the first theories for electron transport in selectively doped two-dimensional electron gas heterostructures, while working as an IBM post-doctoral fellow. From 1984 to 1989, he was a senior scientist at 3M Corporation, developing some of the first models for electronic transport and optical properties of wide bandgap II-VI semiconductors. Professor Ruda joined the faculty of the University of Toronto in 1989 in the Materials Science and Engineering and Electrical and Computer Engineering Departments. His research interests focus on the fabrication and modeling of semiconductor nanostructures with applications in the fields of optoelectronics, energy and sensing. Professor Ruda was one of the founders of a Canadian National Centre of Excellence in Photonics. He has served on the Natural Sciences and Engineering Research Council of Canada and on other government panels, including those of the Department of Energy, Environmental Protection Agency, National Science Foundation in the U.S. and the Royal Academy of Engineering and Engineering Physical Sciences Research Council in the United Kingdom. Professor Ruda is a Fellow of the Royal Society of Canada, a Fellow of the Institute of Physics, a Fellow of the Institute of Nanotechnology, and a Fellow of the Canadian Academy of Engineering. He obtained his Ph.D. in semiconductor physics from the Massachusetts Institute of Technology in 1982.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-2385060</wp:posOffset>
            </wp:positionV>
            <wp:extent cx="7132320" cy="5349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349240"/>
                    </a:xfrm>
                    <a:prstGeom prst="rect">
                      <a:avLst/>
                    </a:prstGeom>
                    <a:noFill/>
                  </pic:spPr>
                </pic:pic>
              </a:graphicData>
            </a:graphic>
          </wp:anchor>
        </w:drawing>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Areas of expertise/experience</w:t>
      </w:r>
    </w:p>
    <w:p>
      <w:pPr>
        <w:spacing w:after="0" w:line="148" w:lineRule="exact"/>
        <w:rPr>
          <w:sz w:val="20"/>
          <w:szCs w:val="20"/>
          <w:color w:val="auto"/>
        </w:rPr>
      </w:pPr>
    </w:p>
    <w:p>
      <w:pPr>
        <w:ind w:left="220" w:hanging="151"/>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Device Engineering          ● Strategy</w:t>
      </w:r>
    </w:p>
    <w:p>
      <w:pPr>
        <w:spacing w:after="0" w:line="27" w:lineRule="exact"/>
        <w:rPr>
          <w:rFonts w:ascii="Times New Roman" w:cs="Times New Roman" w:eastAsia="Times New Roman" w:hAnsi="Times New Roman"/>
          <w:sz w:val="18"/>
          <w:szCs w:val="18"/>
          <w:color w:val="auto"/>
        </w:rPr>
      </w:pPr>
    </w:p>
    <w:p>
      <w:pPr>
        <w:ind w:left="220" w:hanging="151"/>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 Risk Management</w:t>
      </w:r>
    </w:p>
    <w:p>
      <w:pPr>
        <w:spacing w:after="0" w:line="135" w:lineRule="exact"/>
        <w:rPr>
          <w:sz w:val="20"/>
          <w:szCs w:val="20"/>
          <w:color w:val="auto"/>
        </w:rPr>
      </w:pPr>
    </w:p>
    <w:p>
      <w:pPr>
        <w:ind w:left="60" w:right="338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Other public company directorships in the past five years </w:t>
      </w:r>
      <w:r>
        <w:rPr>
          <w:rFonts w:ascii="Times New Roman" w:cs="Times New Roman" w:eastAsia="Times New Roman" w:hAnsi="Times New Roman"/>
          <w:sz w:val="18"/>
          <w:szCs w:val="18"/>
          <w:color w:val="auto"/>
        </w:rPr>
        <w:t>None</w:t>
      </w:r>
    </w:p>
    <w:tbl>
      <w:tblPr>
        <w:tblLayout w:type="fixed"/>
        <w:tblInd w:w="0" w:type="dxa"/>
        <w:tblCellMar>
          <w:top w:w="0" w:type="dxa"/>
          <w:left w:w="0" w:type="dxa"/>
          <w:bottom w:w="0" w:type="dxa"/>
          <w:right w:w="0" w:type="dxa"/>
        </w:tblCellMar>
      </w:tblPr>
      <w:tr>
        <w:trPr>
          <w:trHeight w:val="278"/>
        </w:trPr>
        <w:tc>
          <w:tcPr>
            <w:tcW w:w="2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Board/Committee Membership</w:t>
            </w:r>
          </w:p>
        </w:tc>
        <w:tc>
          <w:tcPr>
            <w:tcW w:w="2360" w:type="dxa"/>
            <w:vAlign w:val="bottom"/>
            <w:tcBorders>
              <w:top w:val="single" w:sz="8" w:color="auto"/>
              <w:right w:val="single" w:sz="8" w:color="auto"/>
            </w:tcBorders>
          </w:tcPr>
          <w:p>
            <w:pPr>
              <w:spacing w:after="0"/>
              <w:rPr>
                <w:sz w:val="24"/>
                <w:szCs w:val="24"/>
                <w:color w:val="auto"/>
              </w:rPr>
            </w:pPr>
          </w:p>
        </w:tc>
        <w:tc>
          <w:tcPr>
            <w:tcW w:w="27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Attendance</w:t>
            </w:r>
          </w:p>
        </w:tc>
      </w:tr>
      <w:tr>
        <w:trPr>
          <w:trHeight w:val="68"/>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59"/>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w:t>
            </w:r>
          </w:p>
        </w:tc>
        <w:tc>
          <w:tcPr>
            <w:tcW w:w="2360" w:type="dxa"/>
            <w:vAlign w:val="bottom"/>
            <w:tcBorders>
              <w:right w:val="single" w:sz="8" w:color="auto"/>
            </w:tcBorders>
          </w:tcPr>
          <w:p>
            <w:pPr>
              <w:spacing w:after="0"/>
              <w:rPr>
                <w:sz w:val="22"/>
                <w:szCs w:val="22"/>
                <w:color w:val="auto"/>
              </w:rPr>
            </w:pP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12 of 12</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 Committee</w:t>
            </w:r>
          </w:p>
        </w:tc>
        <w:tc>
          <w:tcPr>
            <w:tcW w:w="2360" w:type="dxa"/>
            <w:vAlign w:val="bottom"/>
            <w:tcBorders>
              <w:right w:val="single" w:sz="8" w:color="auto"/>
            </w:tcBorders>
          </w:tcPr>
          <w:p>
            <w:pPr>
              <w:spacing w:after="0"/>
              <w:rPr>
                <w:sz w:val="18"/>
                <w:szCs w:val="18"/>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 of 7</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Committee</w:t>
            </w:r>
          </w:p>
        </w:tc>
        <w:tc>
          <w:tcPr>
            <w:tcW w:w="2360" w:type="dxa"/>
            <w:vAlign w:val="bottom"/>
            <w:tcBorders>
              <w:right w:val="single" w:sz="8" w:color="auto"/>
            </w:tcBorders>
          </w:tcPr>
          <w:p>
            <w:pPr>
              <w:spacing w:after="0"/>
              <w:rPr>
                <w:sz w:val="18"/>
                <w:szCs w:val="18"/>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 of 5</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Technology Committee</w:t>
            </w:r>
          </w:p>
        </w:tc>
        <w:tc>
          <w:tcPr>
            <w:tcW w:w="2360" w:type="dxa"/>
            <w:vAlign w:val="bottom"/>
            <w:tcBorders>
              <w:right w:val="single" w:sz="8" w:color="auto"/>
            </w:tcBorders>
          </w:tcPr>
          <w:p>
            <w:pPr>
              <w:spacing w:after="0"/>
              <w:rPr>
                <w:sz w:val="18"/>
                <w:szCs w:val="18"/>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 of 1</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Sustainability Committee</w:t>
            </w:r>
          </w:p>
        </w:tc>
        <w:tc>
          <w:tcPr>
            <w:tcW w:w="2360" w:type="dxa"/>
            <w:vAlign w:val="bottom"/>
            <w:tcBorders>
              <w:right w:val="single" w:sz="8" w:color="auto"/>
            </w:tcBorders>
          </w:tcPr>
          <w:p>
            <w:pPr>
              <w:spacing w:after="0"/>
              <w:rPr>
                <w:sz w:val="20"/>
                <w:szCs w:val="20"/>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 of 1</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67"/>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385"/>
        </w:trPr>
        <w:tc>
          <w:tcPr>
            <w:tcW w:w="2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Equity Ownership </w:t>
            </w:r>
            <w:r>
              <w:rPr>
                <w:rFonts w:ascii="Times New Roman" w:cs="Times New Roman" w:eastAsia="Times New Roman" w:hAnsi="Times New Roman"/>
                <w:sz w:val="29"/>
                <w:szCs w:val="29"/>
                <w:b w:val="1"/>
                <w:bCs w:val="1"/>
                <w:i w:val="1"/>
                <w:iCs w:val="1"/>
                <w:color w:val="auto"/>
                <w:vertAlign w:val="superscript"/>
              </w:rPr>
              <w:t>(1)</w:t>
            </w:r>
          </w:p>
        </w:tc>
        <w:tc>
          <w:tcPr>
            <w:tcW w:w="10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55"/>
        </w:trPr>
        <w:tc>
          <w:tcPr>
            <w:tcW w:w="27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Options</w:t>
            </w:r>
          </w:p>
        </w:tc>
        <w:tc>
          <w:tcPr>
            <w:tcW w:w="27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tc>
      </w:tr>
      <w:tr>
        <w:trPr>
          <w:trHeight w:val="238"/>
        </w:trPr>
        <w:tc>
          <w:tcPr>
            <w:tcW w:w="27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70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i w:val="1"/>
                <w:iCs w:val="1"/>
                <w:color w:val="auto"/>
                <w:w w:val="99"/>
              </w:rPr>
              <w:t>(RSUs)</w:t>
            </w:r>
          </w:p>
        </w:tc>
      </w:tr>
      <w:tr>
        <w:trPr>
          <w:trHeight w:val="67"/>
        </w:trPr>
        <w:tc>
          <w:tcPr>
            <w:tcW w:w="272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77"/>
        </w:trPr>
        <w:tc>
          <w:tcPr>
            <w:tcW w:w="27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45,682</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080" w:type="dxa"/>
            <w:vAlign w:val="bottom"/>
          </w:tcPr>
          <w:p>
            <w:pPr>
              <w:spacing w:after="0"/>
              <w:rPr>
                <w:sz w:val="24"/>
                <w:szCs w:val="24"/>
                <w:color w:val="auto"/>
              </w:rPr>
            </w:pPr>
          </w:p>
        </w:tc>
        <w:tc>
          <w:tcPr>
            <w:tcW w:w="170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22,968</w:t>
            </w:r>
          </w:p>
        </w:tc>
      </w:tr>
      <w:tr>
        <w:trPr>
          <w:trHeight w:val="81"/>
        </w:trPr>
        <w:tc>
          <w:tcPr>
            <w:tcW w:w="272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70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2640" w:space="660"/>
            <w:col w:w="7860"/>
          </w:cols>
          <w:pgMar w:left="400" w:top="985" w:right="339" w:bottom="1440" w:gutter="0" w:footer="0" w:header="0"/>
        </w:sectPr>
      </w:pP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31750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985"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Andrew L.C. Wong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68</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color w:val="auto"/>
        </w:rPr>
        <w:t>Municipality of residence</w:t>
      </w:r>
      <w:r>
        <w:rPr>
          <w:rFonts w:ascii="Times New Roman" w:cs="Times New Roman" w:eastAsia="Times New Roman" w:hAnsi="Times New Roman"/>
          <w:sz w:val="18"/>
          <w:szCs w:val="18"/>
          <w:color w:val="auto"/>
        </w:rPr>
        <w:t>: Hong Kong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Special Administrative Region </w:t>
      </w:r>
      <w:r>
        <w:rPr>
          <w:rFonts w:ascii="Times New Roman" w:cs="Times New Roman" w:eastAsia="Times New Roman" w:hAnsi="Times New Roman"/>
          <w:sz w:val="18"/>
          <w:szCs w:val="18"/>
          <w:b w:val="1"/>
          <w:bCs w:val="1"/>
          <w:color w:val="auto"/>
        </w:rPr>
        <w:t>Citizenship</w:t>
      </w:r>
      <w:r>
        <w:rPr>
          <w:rFonts w:ascii="Times New Roman" w:cs="Times New Roman" w:eastAsia="Times New Roman" w:hAnsi="Times New Roman"/>
          <w:sz w:val="18"/>
          <w:szCs w:val="18"/>
          <w:color w:val="auto"/>
        </w:rPr>
        <w:t>: Canadian</w:t>
      </w:r>
      <w:r>
        <w:rPr>
          <w:rFonts w:ascii="Times New Roman" w:cs="Times New Roman" w:eastAsia="Times New Roman" w:hAnsi="Times New Roman"/>
          <w:sz w:val="18"/>
          <w:szCs w:val="18"/>
          <w:b w:val="1"/>
          <w:bCs w:val="1"/>
          <w:color w:val="auto"/>
        </w:rPr>
        <w:t xml:space="preserve"> Director since</w:t>
      </w:r>
      <w:r>
        <w:rPr>
          <w:rFonts w:ascii="Times New Roman" w:cs="Times New Roman" w:eastAsia="Times New Roman" w:hAnsi="Times New Roman"/>
          <w:sz w:val="18"/>
          <w:szCs w:val="18"/>
          <w:color w:val="auto"/>
        </w:rPr>
        <w:t>: 2014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w:t>
      </w:r>
    </w:p>
    <w:p>
      <w:pPr>
        <w:spacing w:after="0" w:line="20" w:lineRule="exact"/>
        <w:rPr>
          <w:sz w:val="20"/>
          <w:szCs w:val="20"/>
          <w:color w:val="auto"/>
        </w:rPr>
      </w:pPr>
      <w:r>
        <w:rPr>
          <w:sz w:val="20"/>
          <w:szCs w:val="20"/>
          <w:color w:val="auto"/>
        </w:rPr>
        <w:br w:type="column"/>
      </w:r>
    </w:p>
    <w:p>
      <w:pPr>
        <w:jc w:val="both"/>
        <w:ind w:left="60" w:right="60"/>
        <w:spacing w:after="0" w:line="252" w:lineRule="auto"/>
        <w:rPr>
          <w:sz w:val="20"/>
          <w:szCs w:val="20"/>
          <w:color w:val="auto"/>
        </w:rPr>
      </w:pPr>
      <w:r>
        <w:rPr>
          <w:rFonts w:ascii="Times New Roman" w:cs="Times New Roman" w:eastAsia="Times New Roman" w:hAnsi="Times New Roman"/>
          <w:sz w:val="18"/>
          <w:szCs w:val="18"/>
          <w:color w:val="auto"/>
        </w:rPr>
        <w:t>Mr. Andrew L.C. Wong has served as an independent director of our Company since August 2014. Previously, he served as an independent non-executive director and vice-chairman of Huazhong In-Vehicle Holdings Company Limited from 2015 to 2025. Mr. Wong served as an independent non-executive director of Chubb Life Insurance Company Ltd. between 2008 and 2024, a director and a member of the audit committee, nomination and remuneration committee of China CITIC Bank Corporation Limited between 2013 and 2018. Mr. Wong was the director of Intime Retail (Group) Co. Ltd. between 2013 and 2014, and was the director and a member of audit committee, risk management committee, nomination and remuneration committee of China Minsheng Bank from 2006 to 2012. From 1982 to 2006, Mr. Wong held senior positions at the Royal Bank of Canada, the Union Bank of Switzerland, Citicorp International Limited, a merchant banking arm of Citibank, Hang Seng Bank Limited and DBS Bank Limited, Hong Kong. Mr. Wong was awarded the National Excellent Independent Director by the Shanghai Stock Exchange in 2010 and received the Medal of Honour (Hong Kong SAR) from the Hong Kong SAR Government in 2011. Mr. Wong obtained his Bachelor of Social Sciences (Honours) degree from the University of Hong Kong in 1980 and a Master of Philosophy degree from Hong Kong Buddhist College in 1982.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-2109470</wp:posOffset>
            </wp:positionV>
            <wp:extent cx="7132320" cy="5031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031740"/>
                    </a:xfrm>
                    <a:prstGeom prst="rect">
                      <a:avLst/>
                    </a:prstGeom>
                    <a:noFill/>
                  </pic:spPr>
                </pic:pic>
              </a:graphicData>
            </a:graphic>
          </wp:anchor>
        </w:drawing>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Areas of expertise/experience</w:t>
      </w:r>
    </w:p>
    <w:p>
      <w:pPr>
        <w:spacing w:after="0" w:line="148" w:lineRule="exact"/>
        <w:rPr>
          <w:sz w:val="20"/>
          <w:szCs w:val="20"/>
          <w:color w:val="auto"/>
        </w:rPr>
      </w:pPr>
    </w:p>
    <w:p>
      <w:pPr>
        <w:ind w:left="220" w:hanging="151"/>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Finance                    ● Capital Markets</w:t>
      </w:r>
    </w:p>
    <w:p>
      <w:pPr>
        <w:spacing w:after="0" w:line="27" w:lineRule="exact"/>
        <w:rPr>
          <w:rFonts w:ascii="Times New Roman" w:cs="Times New Roman" w:eastAsia="Times New Roman" w:hAnsi="Times New Roman"/>
          <w:sz w:val="18"/>
          <w:szCs w:val="18"/>
          <w:color w:val="auto"/>
        </w:rPr>
      </w:pPr>
    </w:p>
    <w:p>
      <w:pPr>
        <w:ind w:left="220" w:hanging="151"/>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 Region Operations          ● Strategy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in the past five years</w:t>
      </w:r>
    </w:p>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Huazhong In-vehicle Holdings Company Limited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Chubb Life Insurance Company Ltd.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Board/Committee Membership</w:t>
            </w:r>
          </w:p>
        </w:tc>
        <w:tc>
          <w:tcPr>
            <w:tcW w:w="236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Attendance</w:t>
            </w:r>
          </w:p>
        </w:tc>
        <w:tc>
          <w:tcPr>
            <w:tcW w:w="900" w:type="dxa"/>
            <w:vAlign w:val="bottom"/>
            <w:tcBorders>
              <w:top w:val="single" w:sz="8" w:color="auto"/>
            </w:tcBorders>
          </w:tcPr>
          <w:p>
            <w:pPr>
              <w:spacing w:after="0"/>
              <w:rPr>
                <w:sz w:val="24"/>
                <w:szCs w:val="24"/>
                <w:color w:val="auto"/>
              </w:rPr>
            </w:pPr>
          </w:p>
        </w:tc>
      </w:tr>
      <w:tr>
        <w:trPr>
          <w:trHeight w:val="67"/>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9"/>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w:t>
            </w:r>
          </w:p>
        </w:tc>
        <w:tc>
          <w:tcPr>
            <w:tcW w:w="2360" w:type="dxa"/>
            <w:vAlign w:val="bottom"/>
            <w:tcBorders>
              <w:right w:val="single" w:sz="8" w:color="auto"/>
            </w:tcBorders>
          </w:tcPr>
          <w:p>
            <w:pPr>
              <w:spacing w:after="0"/>
              <w:rPr>
                <w:sz w:val="22"/>
                <w:szCs w:val="22"/>
                <w:color w:val="auto"/>
              </w:rPr>
            </w:pPr>
          </w:p>
        </w:tc>
        <w:tc>
          <w:tcPr>
            <w:tcW w:w="1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 of 12</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 Committee</w:t>
            </w:r>
          </w:p>
        </w:tc>
        <w:tc>
          <w:tcPr>
            <w:tcW w:w="2360" w:type="dxa"/>
            <w:vAlign w:val="bottom"/>
            <w:tcBorders>
              <w:right w:val="single" w:sz="8" w:color="auto"/>
            </w:tcBorders>
          </w:tcPr>
          <w:p>
            <w:pPr>
              <w:spacing w:after="0"/>
              <w:rPr>
                <w:sz w:val="18"/>
                <w:szCs w:val="18"/>
                <w:color w:val="auto"/>
              </w:rPr>
            </w:pPr>
          </w:p>
        </w:tc>
        <w:tc>
          <w:tcPr>
            <w:tcW w:w="1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 of 7</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Committee</w:t>
            </w:r>
          </w:p>
        </w:tc>
        <w:tc>
          <w:tcPr>
            <w:tcW w:w="2360" w:type="dxa"/>
            <w:vAlign w:val="bottom"/>
            <w:tcBorders>
              <w:right w:val="single" w:sz="8" w:color="auto"/>
            </w:tcBorders>
          </w:tcPr>
          <w:p>
            <w:pPr>
              <w:spacing w:after="0"/>
              <w:rPr>
                <w:sz w:val="18"/>
                <w:szCs w:val="18"/>
                <w:color w:val="auto"/>
              </w:rPr>
            </w:pPr>
          </w:p>
        </w:tc>
        <w:tc>
          <w:tcPr>
            <w:tcW w:w="1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 of 5</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50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 of 8</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68"/>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385"/>
        </w:trPr>
        <w:tc>
          <w:tcPr>
            <w:tcW w:w="2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Equity Ownership </w:t>
            </w:r>
            <w:r>
              <w:rPr>
                <w:rFonts w:ascii="Times New Roman" w:cs="Times New Roman" w:eastAsia="Times New Roman" w:hAnsi="Times New Roman"/>
                <w:sz w:val="29"/>
                <w:szCs w:val="29"/>
                <w:b w:val="1"/>
                <w:bCs w:val="1"/>
                <w:i w:val="1"/>
                <w:iCs w:val="1"/>
                <w:color w:val="auto"/>
                <w:vertAlign w:val="superscript"/>
              </w:rPr>
              <w:t>(1)</w:t>
            </w:r>
          </w:p>
        </w:tc>
        <w:tc>
          <w:tcPr>
            <w:tcW w:w="1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55"/>
        </w:trPr>
        <w:tc>
          <w:tcPr>
            <w:tcW w:w="27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Options</w:t>
            </w:r>
          </w:p>
        </w:tc>
        <w:tc>
          <w:tcPr>
            <w:tcW w:w="27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tc>
      </w:tr>
      <w:tr>
        <w:trPr>
          <w:trHeight w:val="238"/>
        </w:trPr>
        <w:tc>
          <w:tcPr>
            <w:tcW w:w="27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18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i w:val="1"/>
                <w:iCs w:val="1"/>
                <w:color w:val="auto"/>
                <w:w w:val="99"/>
              </w:rPr>
              <w:t>(RSUs)</w:t>
            </w:r>
          </w:p>
        </w:tc>
        <w:tc>
          <w:tcPr>
            <w:tcW w:w="900" w:type="dxa"/>
            <w:vAlign w:val="bottom"/>
          </w:tcPr>
          <w:p>
            <w:pPr>
              <w:spacing w:after="0"/>
              <w:rPr>
                <w:sz w:val="20"/>
                <w:szCs w:val="20"/>
                <w:color w:val="auto"/>
              </w:rPr>
            </w:pPr>
          </w:p>
        </w:tc>
      </w:tr>
      <w:tr>
        <w:trPr>
          <w:trHeight w:val="68"/>
        </w:trPr>
        <w:tc>
          <w:tcPr>
            <w:tcW w:w="272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77"/>
        </w:trPr>
        <w:tc>
          <w:tcPr>
            <w:tcW w:w="27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1,752</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22,968</w:t>
            </w:r>
          </w:p>
        </w:tc>
        <w:tc>
          <w:tcPr>
            <w:tcW w:w="900" w:type="dxa"/>
            <w:vAlign w:val="bottom"/>
          </w:tcPr>
          <w:p>
            <w:pPr>
              <w:spacing w:after="0"/>
              <w:rPr>
                <w:sz w:val="24"/>
                <w:szCs w:val="24"/>
                <w:color w:val="auto"/>
              </w:rPr>
            </w:pPr>
          </w:p>
        </w:tc>
      </w:tr>
      <w:tr>
        <w:trPr>
          <w:trHeight w:val="81"/>
        </w:trPr>
        <w:tc>
          <w:tcPr>
            <w:tcW w:w="272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2880" w:space="420"/>
            <w:col w:w="7860"/>
          </w:cols>
          <w:pgMar w:left="400" w:top="985" w:right="339" w:bottom="1440" w:gutter="0" w:footer="0" w:header="0"/>
        </w:sectPr>
      </w:pP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31750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985" w:right="3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Lauren C. Templeton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50</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color w:val="auto"/>
        </w:rPr>
        <w:t>Municipality of residence</w:t>
      </w:r>
      <w:r>
        <w:rPr>
          <w:rFonts w:ascii="Times New Roman" w:cs="Times New Roman" w:eastAsia="Times New Roman" w:hAnsi="Times New Roman"/>
          <w:sz w:val="18"/>
          <w:szCs w:val="18"/>
          <w:color w:val="auto"/>
        </w:rPr>
        <w:t>: Lookout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Mountain, Tennessee, USA </w:t>
      </w:r>
      <w:r>
        <w:rPr>
          <w:rFonts w:ascii="Times New Roman" w:cs="Times New Roman" w:eastAsia="Times New Roman" w:hAnsi="Times New Roman"/>
          <w:sz w:val="18"/>
          <w:szCs w:val="18"/>
          <w:b w:val="1"/>
          <w:bCs w:val="1"/>
          <w:color w:val="auto"/>
        </w:rPr>
        <w:t>Citizenship</w:t>
      </w:r>
      <w:r>
        <w:rPr>
          <w:rFonts w:ascii="Times New Roman" w:cs="Times New Roman" w:eastAsia="Times New Roman" w:hAnsi="Times New Roman"/>
          <w:sz w:val="18"/>
          <w:szCs w:val="18"/>
          <w:color w:val="auto"/>
        </w:rPr>
        <w:t>: American</w:t>
      </w:r>
      <w:r>
        <w:rPr>
          <w:rFonts w:ascii="Times New Roman" w:cs="Times New Roman" w:eastAsia="Times New Roman" w:hAnsi="Times New Roman"/>
          <w:sz w:val="18"/>
          <w:szCs w:val="18"/>
          <w:b w:val="1"/>
          <w:bCs w:val="1"/>
          <w:color w:val="auto"/>
        </w:rPr>
        <w:t xml:space="preserve"> Director since</w:t>
      </w:r>
      <w:r>
        <w:rPr>
          <w:rFonts w:ascii="Times New Roman" w:cs="Times New Roman" w:eastAsia="Times New Roman" w:hAnsi="Times New Roman"/>
          <w:sz w:val="18"/>
          <w:szCs w:val="18"/>
          <w:color w:val="auto"/>
        </w:rPr>
        <w:t>: 2020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jc w:val="both"/>
        <w:ind w:left="60" w:right="60"/>
        <w:spacing w:after="0" w:line="253" w:lineRule="auto"/>
        <w:rPr>
          <w:sz w:val="20"/>
          <w:szCs w:val="20"/>
          <w:color w:val="auto"/>
        </w:rPr>
      </w:pPr>
      <w:r>
        <w:rPr>
          <w:rFonts w:ascii="Times New Roman" w:cs="Times New Roman" w:eastAsia="Times New Roman" w:hAnsi="Times New Roman"/>
          <w:sz w:val="18"/>
          <w:szCs w:val="18"/>
          <w:color w:val="auto"/>
        </w:rPr>
        <w:t>Ms. Lauren C. Templeton has served as an independent director of our Company since January 2020. Ms. Templeton is the founder and President of Templeton &amp; Phillips Capital Management, LLC, a global investing boutique located in Chattanooga, Tennessee. She is also an independent director and member of the audit committee of Fairfax Financial Holdings Limited, a financial holding company engaged in property and casualty insurance and reinsurance and associated investment management, and its publicly-traded subsidiary, Fairfax India Holdings Corporation. Ms. Templeton serves on a number of non-profit organizations, including serving as Chairperson of the Board of Trustees of the John Templeton Foundation. She is a member of the Templeton World Charities Foundation and the Templeton Religion Trust. She also serves on the Board of Overseers at the Atlas Economic Research Foundation. Ms. Templeton is the former President of the Southeastern Hedge Fund Association, based in Atlanta, Georgia. She is also the co-author of “Investing the Templeton Way: The Market Beating Strategies of Value Investing’s Legendary Bargain Hunter”, which has been translated into nine languages. Ms. Templeton holds a Bachelor of Arts Degree in Economics from the University of the South, Sewanee.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-1840230</wp:posOffset>
            </wp:positionV>
            <wp:extent cx="7132320" cy="4714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714875"/>
                    </a:xfrm>
                    <a:prstGeom prst="rect">
                      <a:avLst/>
                    </a:prstGeom>
                    <a:noFill/>
                  </pic:spPr>
                </pic:pic>
              </a:graphicData>
            </a:graphic>
          </wp:anchor>
        </w:drawing>
      </w:r>
    </w:p>
    <w:p>
      <w:pPr>
        <w:spacing w:after="0" w:line="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Areas of expertise/experience</w:t>
      </w:r>
    </w:p>
    <w:p>
      <w:pPr>
        <w:spacing w:after="0" w:line="81" w:lineRule="exact"/>
        <w:rPr>
          <w:sz w:val="20"/>
          <w:szCs w:val="20"/>
          <w:color w:val="auto"/>
        </w:rPr>
      </w:pPr>
    </w:p>
    <w:p>
      <w:pPr>
        <w:ind w:left="220" w:hanging="151"/>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Markets                         ● Investment</w:t>
      </w:r>
    </w:p>
    <w:p>
      <w:pPr>
        <w:spacing w:after="0" w:line="27" w:lineRule="exact"/>
        <w:rPr>
          <w:rFonts w:ascii="Times New Roman" w:cs="Times New Roman" w:eastAsia="Times New Roman" w:hAnsi="Times New Roman"/>
          <w:sz w:val="18"/>
          <w:szCs w:val="18"/>
          <w:color w:val="auto"/>
        </w:rPr>
      </w:pPr>
    </w:p>
    <w:p>
      <w:pPr>
        <w:ind w:left="220" w:hanging="151"/>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Finance                    ● Strategy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in the past five years</w:t>
      </w:r>
    </w:p>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Fairfax Financial Holdings Limited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Fairfax India Holdings Corporation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Board/Committee Membership</w:t>
            </w:r>
          </w:p>
        </w:tc>
        <w:tc>
          <w:tcPr>
            <w:tcW w:w="236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Attendance</w:t>
            </w:r>
          </w:p>
        </w:tc>
        <w:tc>
          <w:tcPr>
            <w:tcW w:w="900" w:type="dxa"/>
            <w:vAlign w:val="bottom"/>
            <w:tcBorders>
              <w:top w:val="single" w:sz="8" w:color="auto"/>
            </w:tcBorders>
          </w:tcPr>
          <w:p>
            <w:pPr>
              <w:spacing w:after="0"/>
              <w:rPr>
                <w:sz w:val="24"/>
                <w:szCs w:val="24"/>
                <w:color w:val="auto"/>
              </w:rPr>
            </w:pPr>
          </w:p>
        </w:tc>
      </w:tr>
      <w:tr>
        <w:trPr>
          <w:trHeight w:val="67"/>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9"/>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w:t>
            </w:r>
          </w:p>
        </w:tc>
        <w:tc>
          <w:tcPr>
            <w:tcW w:w="2360" w:type="dxa"/>
            <w:vAlign w:val="bottom"/>
            <w:tcBorders>
              <w:right w:val="single" w:sz="8" w:color="auto"/>
            </w:tcBorders>
          </w:tcPr>
          <w:p>
            <w:pPr>
              <w:spacing w:after="0"/>
              <w:rPr>
                <w:sz w:val="22"/>
                <w:szCs w:val="22"/>
                <w:color w:val="auto"/>
              </w:rPr>
            </w:pPr>
          </w:p>
        </w:tc>
        <w:tc>
          <w:tcPr>
            <w:tcW w:w="1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12 of 12</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Committee</w:t>
            </w:r>
          </w:p>
        </w:tc>
        <w:tc>
          <w:tcPr>
            <w:tcW w:w="2360" w:type="dxa"/>
            <w:vAlign w:val="bottom"/>
            <w:tcBorders>
              <w:right w:val="single" w:sz="8" w:color="auto"/>
            </w:tcBorders>
          </w:tcPr>
          <w:p>
            <w:pPr>
              <w:spacing w:after="0"/>
              <w:rPr>
                <w:sz w:val="18"/>
                <w:szCs w:val="18"/>
                <w:color w:val="auto"/>
              </w:rPr>
            </w:pPr>
          </w:p>
        </w:tc>
        <w:tc>
          <w:tcPr>
            <w:tcW w:w="18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5 of 5</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0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8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8 of 8</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Sustainability Committee</w:t>
            </w:r>
          </w:p>
        </w:tc>
        <w:tc>
          <w:tcPr>
            <w:tcW w:w="2360" w:type="dxa"/>
            <w:vAlign w:val="bottom"/>
            <w:tcBorders>
              <w:right w:val="single" w:sz="8" w:color="auto"/>
            </w:tcBorders>
          </w:tcPr>
          <w:p>
            <w:pPr>
              <w:spacing w:after="0"/>
              <w:rPr>
                <w:sz w:val="20"/>
                <w:szCs w:val="20"/>
                <w:color w:val="auto"/>
              </w:rPr>
            </w:pPr>
          </w:p>
        </w:tc>
        <w:tc>
          <w:tcPr>
            <w:tcW w:w="18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 of 1</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67"/>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385"/>
        </w:trPr>
        <w:tc>
          <w:tcPr>
            <w:tcW w:w="2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Equity Ownership </w:t>
            </w:r>
            <w:r>
              <w:rPr>
                <w:rFonts w:ascii="Times New Roman" w:cs="Times New Roman" w:eastAsia="Times New Roman" w:hAnsi="Times New Roman"/>
                <w:sz w:val="29"/>
                <w:szCs w:val="29"/>
                <w:b w:val="1"/>
                <w:bCs w:val="1"/>
                <w:i w:val="1"/>
                <w:iCs w:val="1"/>
                <w:color w:val="auto"/>
                <w:vertAlign w:val="superscript"/>
              </w:rPr>
              <w:t>(1)</w:t>
            </w:r>
          </w:p>
        </w:tc>
        <w:tc>
          <w:tcPr>
            <w:tcW w:w="1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55"/>
        </w:trPr>
        <w:tc>
          <w:tcPr>
            <w:tcW w:w="27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Options</w:t>
            </w: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Restricted Share Units</w:t>
            </w:r>
          </w:p>
        </w:tc>
      </w:tr>
      <w:tr>
        <w:trPr>
          <w:trHeight w:val="238"/>
        </w:trPr>
        <w:tc>
          <w:tcPr>
            <w:tcW w:w="27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18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i w:val="1"/>
                <w:iCs w:val="1"/>
                <w:color w:val="auto"/>
                <w:w w:val="99"/>
              </w:rPr>
              <w:t>(RSUs)</w:t>
            </w:r>
          </w:p>
        </w:tc>
        <w:tc>
          <w:tcPr>
            <w:tcW w:w="900" w:type="dxa"/>
            <w:vAlign w:val="bottom"/>
          </w:tcPr>
          <w:p>
            <w:pPr>
              <w:spacing w:after="0"/>
              <w:rPr>
                <w:sz w:val="20"/>
                <w:szCs w:val="20"/>
                <w:color w:val="auto"/>
              </w:rPr>
            </w:pPr>
          </w:p>
        </w:tc>
      </w:tr>
      <w:tr>
        <w:trPr>
          <w:trHeight w:val="67"/>
        </w:trPr>
        <w:tc>
          <w:tcPr>
            <w:tcW w:w="272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77"/>
        </w:trPr>
        <w:tc>
          <w:tcPr>
            <w:tcW w:w="27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23,794</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22,968</w:t>
            </w:r>
          </w:p>
        </w:tc>
        <w:tc>
          <w:tcPr>
            <w:tcW w:w="900" w:type="dxa"/>
            <w:vAlign w:val="bottom"/>
          </w:tcPr>
          <w:p>
            <w:pPr>
              <w:spacing w:after="0"/>
              <w:rPr>
                <w:sz w:val="24"/>
                <w:szCs w:val="24"/>
                <w:color w:val="auto"/>
              </w:rPr>
            </w:pPr>
          </w:p>
        </w:tc>
      </w:tr>
      <w:tr>
        <w:trPr>
          <w:trHeight w:val="81"/>
        </w:trPr>
        <w:tc>
          <w:tcPr>
            <w:tcW w:w="272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2640" w:space="660"/>
            <w:col w:w="7860"/>
          </w:cols>
          <w:pgMar w:left="400" w:top="985" w:right="339" w:bottom="1440" w:gutter="0" w:footer="0" w:header="0"/>
        </w:sectPr>
      </w:pP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31750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985" w:right="339" w:bottom="1440" w:gutter="0" w:footer="0" w:header="0"/>
          <w:type w:val="continuous"/>
        </w:sectPr>
      </w:pPr>
    </w:p>
    <w:bookmarkStart w:id="12" w:name="page13"/>
    <w:bookmarkEnd w:id="12"/>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sz w:val="1"/>
          <w:szCs w:val="1"/>
          <w:color w:val="auto"/>
        </w:rPr>
        <w:drawing>
          <wp:inline distT="0" distB="0" distL="0" distR="0">
            <wp:extent cx="1036955" cy="12941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6955" cy="1294130"/>
                    </a:xfrm>
                    <a:prstGeom prst="rect">
                      <a:avLst/>
                    </a:prstGeom>
                    <a:noFill/>
                    <a:ln>
                      <a:noFill/>
                    </a:ln>
                  </pic:spPr>
                </pic:pic>
              </a:graphicData>
            </a:graphic>
          </wp:inline>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w:t>
      </w:r>
    </w:p>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Leslie Chang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71</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color w:val="auto"/>
        </w:rPr>
        <w:t>Municipality of residence</w:t>
      </w:r>
      <w:r>
        <w:rPr>
          <w:rFonts w:ascii="Times New Roman" w:cs="Times New Roman" w:eastAsia="Times New Roman" w:hAnsi="Times New Roman"/>
          <w:sz w:val="18"/>
          <w:szCs w:val="18"/>
          <w:color w:val="auto"/>
        </w:rPr>
        <w:t>: Hong Kong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Special Administrative Region </w:t>
      </w:r>
      <w:r>
        <w:rPr>
          <w:rFonts w:ascii="Times New Roman" w:cs="Times New Roman" w:eastAsia="Times New Roman" w:hAnsi="Times New Roman"/>
          <w:sz w:val="18"/>
          <w:szCs w:val="18"/>
          <w:b w:val="1"/>
          <w:bCs w:val="1"/>
          <w:color w:val="auto"/>
        </w:rPr>
        <w:t>Citizenship</w:t>
      </w:r>
      <w:r>
        <w:rPr>
          <w:rFonts w:ascii="Times New Roman" w:cs="Times New Roman" w:eastAsia="Times New Roman" w:hAnsi="Times New Roman"/>
          <w:sz w:val="18"/>
          <w:szCs w:val="18"/>
          <w:color w:val="auto"/>
        </w:rPr>
        <w:t>: American</w:t>
      </w:r>
      <w:r>
        <w:rPr>
          <w:rFonts w:ascii="Times New Roman" w:cs="Times New Roman" w:eastAsia="Times New Roman" w:hAnsi="Times New Roman"/>
          <w:sz w:val="18"/>
          <w:szCs w:val="18"/>
          <w:b w:val="1"/>
          <w:bCs w:val="1"/>
          <w:color w:val="auto"/>
        </w:rPr>
        <w:t xml:space="preserve"> Director since</w:t>
      </w:r>
      <w:r>
        <w:rPr>
          <w:rFonts w:ascii="Times New Roman" w:cs="Times New Roman" w:eastAsia="Times New Roman" w:hAnsi="Times New Roman"/>
          <w:sz w:val="18"/>
          <w:szCs w:val="18"/>
          <w:color w:val="auto"/>
        </w:rPr>
        <w:t>: 2020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w:t>
      </w:r>
    </w:p>
    <w:p>
      <w:pPr>
        <w:spacing w:after="0" w:line="20" w:lineRule="exact"/>
        <w:rPr>
          <w:sz w:val="20"/>
          <w:szCs w:val="20"/>
          <w:color w:val="auto"/>
        </w:rPr>
      </w:pPr>
      <w:r>
        <w:rPr>
          <w:sz w:val="20"/>
          <w:szCs w:val="20"/>
          <w:color w:val="auto"/>
        </w:rPr>
        <w:br w:type="column"/>
      </w:r>
    </w:p>
    <w:p>
      <w:pPr>
        <w:jc w:val="both"/>
        <w:ind w:left="60" w:right="60"/>
        <w:spacing w:after="0" w:line="252" w:lineRule="auto"/>
        <w:rPr>
          <w:sz w:val="20"/>
          <w:szCs w:val="20"/>
          <w:color w:val="auto"/>
        </w:rPr>
      </w:pPr>
      <w:r>
        <w:rPr>
          <w:rFonts w:ascii="Times New Roman" w:cs="Times New Roman" w:eastAsia="Times New Roman" w:hAnsi="Times New Roman"/>
          <w:sz w:val="18"/>
          <w:szCs w:val="18"/>
          <w:color w:val="auto"/>
        </w:rPr>
        <w:t>Mr. Leslie Chang has served as an independent director of our Company since September 2020 and has served as a director of CSI Solar since December 2020. Mr. Chang is the lead independent director of our company. Mr. Chang is currently an independent non-executive director, chairman of the audit committee, and a member of the remuneration committee and nomination committee of Huzhou Gas Company Limited. From March 2014 to June 2025, Mr. Chang served as Senior Advisor to CITIC Capital (Holdings) Limited. Prior to that, Mr. Chang served as a senior corporate executive and board director at several companies listed on the Hong Kong Stock Exchange. He joined CITIC Pacific Limited (now known as China CITIC Limited) initially as General Manager, Finance in 1994 and later became the Executive Director and Deputy Managing Director of the company responsible for the Group’s financial management, accounting, and treasury functions. Mr. Chang also served as the Executive Director and Chief Executive Officer of HKC (Holdings) Limited; Executive Director and Vice Chairman of China Renewable Energy Investment Limited; Alternate Director on the board of Cathay Pacific Airways Limited and Independent Non-Executive Director of Pou Sheng International (Holdings) Limited, among other senior executive roles. Mr. Chang started his career after graduating from George Mason University business school in 1984 and joined the New York Office of KPMG. He became a partner of the firm specializing in the financial services industry and served as the Director of the Chinese Practice. Mr. Chang served as a certified public accountant in the State of New York. He is a member of the American Institute of Certified Public Accountants, New York State Society of Certified Public Accountant, Chartered Global Management Accountants, and the Hong Kong Institute of 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-2661285</wp:posOffset>
            </wp:positionV>
            <wp:extent cx="7132320" cy="5537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537835"/>
                    </a:xfrm>
                    <a:prstGeom prst="rect">
                      <a:avLst/>
                    </a:prstGeom>
                    <a:noFill/>
                  </pic:spPr>
                </pic:pic>
              </a:graphicData>
            </a:graphic>
          </wp:anchor>
        </w:drawing>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Areas of expertise/experience</w:t>
      </w:r>
    </w:p>
    <w:p>
      <w:pPr>
        <w:spacing w:after="0" w:line="81" w:lineRule="exact"/>
        <w:rPr>
          <w:sz w:val="20"/>
          <w:szCs w:val="20"/>
          <w:color w:val="auto"/>
        </w:rPr>
      </w:pPr>
    </w:p>
    <w:p>
      <w:pPr>
        <w:ind w:left="220" w:hanging="151"/>
        <w:spacing w:after="0"/>
        <w:tabs>
          <w:tab w:leader="none" w:pos="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 Investment</w:t>
      </w:r>
    </w:p>
    <w:p>
      <w:pPr>
        <w:spacing w:after="0" w:line="27" w:lineRule="exact"/>
        <w:rPr>
          <w:rFonts w:ascii="Times New Roman" w:cs="Times New Roman" w:eastAsia="Times New Roman" w:hAnsi="Times New Roman"/>
          <w:sz w:val="18"/>
          <w:szCs w:val="18"/>
          <w:color w:val="auto"/>
        </w:rPr>
      </w:pPr>
    </w:p>
    <w:p>
      <w:pPr>
        <w:ind w:left="60" w:right="4260" w:firstLine="9"/>
        <w:spacing w:after="0" w:line="260" w:lineRule="auto"/>
        <w:tabs>
          <w:tab w:leader="none" w:pos="21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Markets                                 ● Corporate Finance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Audit/Accounting</w:t>
      </w:r>
    </w:p>
    <w:p>
      <w:pPr>
        <w:spacing w:after="0" w:line="110" w:lineRule="exact"/>
        <w:rPr>
          <w:sz w:val="20"/>
          <w:szCs w:val="20"/>
          <w:color w:val="auto"/>
        </w:rPr>
      </w:pPr>
    </w:p>
    <w:p>
      <w:pPr>
        <w:ind w:left="60" w:right="3380"/>
        <w:spacing w:after="0" w:line="341" w:lineRule="auto"/>
        <w:rPr>
          <w:sz w:val="20"/>
          <w:szCs w:val="20"/>
          <w:color w:val="auto"/>
        </w:rPr>
      </w:pPr>
      <w:r>
        <w:rPr>
          <w:rFonts w:ascii="Times New Roman" w:cs="Times New Roman" w:eastAsia="Times New Roman" w:hAnsi="Times New Roman"/>
          <w:sz w:val="18"/>
          <w:szCs w:val="18"/>
          <w:b w:val="1"/>
          <w:bCs w:val="1"/>
          <w:color w:val="auto"/>
        </w:rPr>
        <w:t xml:space="preserve">Other public company directorships in the past five years </w:t>
      </w:r>
      <w:r>
        <w:rPr>
          <w:rFonts w:ascii="Times New Roman" w:cs="Times New Roman" w:eastAsia="Times New Roman" w:hAnsi="Times New Roman"/>
          <w:sz w:val="18"/>
          <w:szCs w:val="18"/>
          <w:color w:val="auto"/>
        </w:rPr>
        <w:t>Huzhou Gas Company Limited</w:t>
      </w:r>
    </w:p>
    <w:tbl>
      <w:tblPr>
        <w:tblLayout w:type="fixed"/>
        <w:tblInd w:w="0" w:type="dxa"/>
        <w:tblCellMar>
          <w:top w:w="0" w:type="dxa"/>
          <w:left w:w="0" w:type="dxa"/>
          <w:bottom w:w="0" w:type="dxa"/>
          <w:right w:w="0" w:type="dxa"/>
        </w:tblCellMar>
      </w:tblPr>
      <w:tr>
        <w:trPr>
          <w:trHeight w:val="278"/>
        </w:trPr>
        <w:tc>
          <w:tcPr>
            <w:tcW w:w="2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Board/Committee Membership</w:t>
            </w:r>
          </w:p>
        </w:tc>
        <w:tc>
          <w:tcPr>
            <w:tcW w:w="236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Attendance</w:t>
            </w:r>
          </w:p>
        </w:tc>
        <w:tc>
          <w:tcPr>
            <w:tcW w:w="900" w:type="dxa"/>
            <w:vAlign w:val="bottom"/>
            <w:tcBorders>
              <w:top w:val="single" w:sz="8" w:color="auto"/>
            </w:tcBorders>
          </w:tcPr>
          <w:p>
            <w:pPr>
              <w:spacing w:after="0"/>
              <w:rPr>
                <w:sz w:val="24"/>
                <w:szCs w:val="24"/>
                <w:color w:val="auto"/>
              </w:rPr>
            </w:pPr>
          </w:p>
        </w:tc>
      </w:tr>
      <w:tr>
        <w:trPr>
          <w:trHeight w:val="68"/>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9"/>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w:t>
            </w:r>
          </w:p>
        </w:tc>
        <w:tc>
          <w:tcPr>
            <w:tcW w:w="2360" w:type="dxa"/>
            <w:vAlign w:val="bottom"/>
            <w:tcBorders>
              <w:right w:val="single" w:sz="8" w:color="auto"/>
            </w:tcBorders>
          </w:tcPr>
          <w:p>
            <w:pPr>
              <w:spacing w:after="0"/>
              <w:rPr>
                <w:sz w:val="22"/>
                <w:szCs w:val="22"/>
                <w:color w:val="auto"/>
              </w:rPr>
            </w:pPr>
          </w:p>
        </w:tc>
        <w:tc>
          <w:tcPr>
            <w:tcW w:w="1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 of 12</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 Committee</w:t>
            </w:r>
          </w:p>
        </w:tc>
        <w:tc>
          <w:tcPr>
            <w:tcW w:w="2360" w:type="dxa"/>
            <w:vAlign w:val="bottom"/>
            <w:tcBorders>
              <w:right w:val="single" w:sz="8" w:color="auto"/>
            </w:tcBorders>
          </w:tcPr>
          <w:p>
            <w:pPr>
              <w:spacing w:after="0"/>
              <w:rPr>
                <w:sz w:val="18"/>
                <w:szCs w:val="18"/>
                <w:color w:val="auto"/>
              </w:rPr>
            </w:pPr>
          </w:p>
        </w:tc>
        <w:tc>
          <w:tcPr>
            <w:tcW w:w="1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 of 7</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0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8 of 8</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Sustainability Committee</w:t>
            </w:r>
          </w:p>
        </w:tc>
        <w:tc>
          <w:tcPr>
            <w:tcW w:w="2360" w:type="dxa"/>
            <w:vAlign w:val="bottom"/>
            <w:tcBorders>
              <w:right w:val="single" w:sz="8" w:color="auto"/>
            </w:tcBorders>
          </w:tcPr>
          <w:p>
            <w:pPr>
              <w:spacing w:after="0"/>
              <w:rPr>
                <w:sz w:val="20"/>
                <w:szCs w:val="20"/>
                <w:color w:val="auto"/>
              </w:rPr>
            </w:pPr>
          </w:p>
        </w:tc>
        <w:tc>
          <w:tcPr>
            <w:tcW w:w="1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 of 1</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68"/>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385"/>
        </w:trPr>
        <w:tc>
          <w:tcPr>
            <w:tcW w:w="2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Equity Ownership </w:t>
            </w:r>
            <w:r>
              <w:rPr>
                <w:rFonts w:ascii="Times New Roman" w:cs="Times New Roman" w:eastAsia="Times New Roman" w:hAnsi="Times New Roman"/>
                <w:sz w:val="29"/>
                <w:szCs w:val="29"/>
                <w:b w:val="1"/>
                <w:bCs w:val="1"/>
                <w:i w:val="1"/>
                <w:iCs w:val="1"/>
                <w:color w:val="auto"/>
                <w:vertAlign w:val="superscript"/>
              </w:rPr>
              <w:t>(1)</w:t>
            </w:r>
          </w:p>
        </w:tc>
        <w:tc>
          <w:tcPr>
            <w:tcW w:w="1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55"/>
        </w:trPr>
        <w:tc>
          <w:tcPr>
            <w:tcW w:w="27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Options</w:t>
            </w:r>
          </w:p>
        </w:tc>
        <w:tc>
          <w:tcPr>
            <w:tcW w:w="27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tc>
      </w:tr>
      <w:tr>
        <w:trPr>
          <w:trHeight w:val="238"/>
        </w:trPr>
        <w:tc>
          <w:tcPr>
            <w:tcW w:w="27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18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i w:val="1"/>
                <w:iCs w:val="1"/>
                <w:color w:val="auto"/>
                <w:w w:val="99"/>
              </w:rPr>
              <w:t>(RSUs)</w:t>
            </w:r>
          </w:p>
        </w:tc>
        <w:tc>
          <w:tcPr>
            <w:tcW w:w="900" w:type="dxa"/>
            <w:vAlign w:val="bottom"/>
          </w:tcPr>
          <w:p>
            <w:pPr>
              <w:spacing w:after="0"/>
              <w:rPr>
                <w:sz w:val="20"/>
                <w:szCs w:val="20"/>
                <w:color w:val="auto"/>
              </w:rPr>
            </w:pPr>
          </w:p>
        </w:tc>
      </w:tr>
      <w:tr>
        <w:trPr>
          <w:trHeight w:val="68"/>
        </w:trPr>
        <w:tc>
          <w:tcPr>
            <w:tcW w:w="272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77"/>
        </w:trPr>
        <w:tc>
          <w:tcPr>
            <w:tcW w:w="272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1,767</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22,968</w:t>
            </w:r>
          </w:p>
        </w:tc>
        <w:tc>
          <w:tcPr>
            <w:tcW w:w="900" w:type="dxa"/>
            <w:vAlign w:val="bottom"/>
          </w:tcPr>
          <w:p>
            <w:pPr>
              <w:spacing w:after="0"/>
              <w:rPr>
                <w:sz w:val="24"/>
                <w:szCs w:val="24"/>
                <w:color w:val="auto"/>
              </w:rPr>
            </w:pPr>
          </w:p>
        </w:tc>
      </w:tr>
      <w:tr>
        <w:trPr>
          <w:trHeight w:val="81"/>
        </w:trPr>
        <w:tc>
          <w:tcPr>
            <w:tcW w:w="272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2880" w:space="420"/>
            <w:col w:w="7860"/>
          </w:cols>
          <w:pgMar w:left="400" w:top="985" w:right="339" w:bottom="1440" w:gutter="0" w:footer="0" w:header="0"/>
        </w:sectPr>
      </w:pP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31750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400" w:top="985" w:right="33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w:t>
      </w:r>
    </w:p>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Colin Parkin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55</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color w:val="auto"/>
        </w:rPr>
        <w:t>Municipality of residence</w:t>
      </w:r>
      <w:r>
        <w:rPr>
          <w:rFonts w:ascii="Times New Roman" w:cs="Times New Roman" w:eastAsia="Times New Roman" w:hAnsi="Times New Roman"/>
          <w:sz w:val="18"/>
          <w:szCs w:val="18"/>
          <w:color w:val="auto"/>
        </w:rPr>
        <w:t>: Meaford,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Ontario, Canada</w:t>
      </w:r>
    </w:p>
    <w:p>
      <w:pPr>
        <w:spacing w:after="0" w:line="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b w:val="1"/>
          <w:bCs w:val="1"/>
          <w:color w:val="auto"/>
        </w:rPr>
        <w:t>Citizenship</w:t>
      </w:r>
      <w:r>
        <w:rPr>
          <w:rFonts w:ascii="Times New Roman" w:cs="Times New Roman" w:eastAsia="Times New Roman" w:hAnsi="Times New Roman"/>
          <w:sz w:val="18"/>
          <w:szCs w:val="18"/>
          <w:color w:val="auto"/>
        </w:rPr>
        <w:t>: Canadian</w:t>
      </w:r>
      <w:r>
        <w:rPr>
          <w:rFonts w:ascii="Times New Roman" w:cs="Times New Roman" w:eastAsia="Times New Roman" w:hAnsi="Times New Roman"/>
          <w:sz w:val="18"/>
          <w:szCs w:val="18"/>
          <w:b w:val="1"/>
          <w:bCs w:val="1"/>
          <w:color w:val="auto"/>
        </w:rPr>
        <w:t xml:space="preserve"> Director since</w:t>
      </w:r>
      <w:r>
        <w:rPr>
          <w:rFonts w:ascii="Times New Roman" w:cs="Times New Roman" w:eastAsia="Times New Roman" w:hAnsi="Times New Roman"/>
          <w:sz w:val="18"/>
          <w:szCs w:val="18"/>
          <w:color w:val="auto"/>
        </w:rPr>
        <w:t>: December,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Non-independent</w:t>
      </w:r>
    </w:p>
    <w:p>
      <w:pPr>
        <w:spacing w:after="0" w:line="20" w:lineRule="exact"/>
        <w:rPr>
          <w:sz w:val="20"/>
          <w:szCs w:val="20"/>
          <w:color w:val="auto"/>
        </w:rPr>
      </w:pPr>
      <w:r>
        <w:rPr>
          <w:sz w:val="20"/>
          <w:szCs w:val="20"/>
          <w:color w:val="auto"/>
        </w:rPr>
        <w:br w:type="column"/>
      </w:r>
    </w:p>
    <w:p>
      <w:pPr>
        <w:jc w:val="both"/>
        <w:ind w:left="60" w:right="60"/>
        <w:spacing w:after="0" w:line="252" w:lineRule="auto"/>
        <w:rPr>
          <w:sz w:val="20"/>
          <w:szCs w:val="20"/>
          <w:color w:val="auto"/>
        </w:rPr>
      </w:pPr>
      <w:r>
        <w:rPr>
          <w:rFonts w:ascii="Times New Roman" w:cs="Times New Roman" w:eastAsia="Times New Roman" w:hAnsi="Times New Roman"/>
          <w:sz w:val="18"/>
          <w:szCs w:val="18"/>
          <w:color w:val="auto"/>
        </w:rPr>
        <w:t>Mr. Colin Parkin has served as a director of our Company since December 2025. He is the Chief Executive Officer as of May 2026. Prior to his current role, Mr. Parkin was President of our Company and also President of e-STORAGE, our utility-scale energy storage division. At e-STORAGE, Mr. Parkin led global strategy for advanced battery technologies, oversaw research and development, as well as the establishment of global battery cell and battery system manufacturing facilities in the United States, Thailand, and China. Under his leadership, e-STORAGE became a recognized global leader in delivering turnkey battery energy storage solutions. Previously, Mr. Parkin served as Vice President of our Energy Group, now Recurrent Energy, where he expanded the company’s international solar project development pipeline to 8 GWp and managed major project financing and asset sales with leading global investors. His earlier roles include General Manager of Canada and Vice President of Engineering and Projects, developing the country’s largest utility-scale solar projects and managing the domestic solar panel and medium voltage equipment manufacturing operations. Mr. Parkin began his career in advanced manufacturing and automation, having held leadership roles at Photowatt International and Automation Tooling Systems (ATS). He was also the Founder and CEO of Integrated Manufacturing Technologies (IMT), which was later acquired by Magna International. Mr. Parkin studied Manufacturing Engineering at Fanshawe College in London, 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-2247265</wp:posOffset>
            </wp:positionV>
            <wp:extent cx="7132320" cy="4577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Areas of expertise/experience</w:t>
      </w:r>
    </w:p>
    <w:p>
      <w:pPr>
        <w:spacing w:after="0" w:line="81" w:lineRule="exact"/>
        <w:rPr>
          <w:sz w:val="20"/>
          <w:szCs w:val="20"/>
          <w:color w:val="auto"/>
        </w:rPr>
      </w:pPr>
    </w:p>
    <w:p>
      <w:pPr>
        <w:ind w:left="220" w:hanging="151"/>
        <w:spacing w:after="0"/>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 Corporate Branding</w:t>
      </w:r>
    </w:p>
    <w:p>
      <w:pPr>
        <w:spacing w:after="0" w:line="27" w:lineRule="exact"/>
        <w:rPr>
          <w:rFonts w:ascii="Times New Roman" w:cs="Times New Roman" w:eastAsia="Times New Roman" w:hAnsi="Times New Roman"/>
          <w:sz w:val="18"/>
          <w:szCs w:val="18"/>
          <w:color w:val="auto"/>
        </w:rPr>
      </w:pPr>
    </w:p>
    <w:p>
      <w:pPr>
        <w:ind w:left="220" w:hanging="151"/>
        <w:spacing w:after="0"/>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 Marketing Management</w:t>
      </w:r>
    </w:p>
    <w:p>
      <w:pPr>
        <w:spacing w:after="0" w:line="135" w:lineRule="exact"/>
        <w:rPr>
          <w:sz w:val="20"/>
          <w:szCs w:val="20"/>
          <w:color w:val="auto"/>
        </w:rPr>
      </w:pPr>
    </w:p>
    <w:p>
      <w:pPr>
        <w:ind w:left="60" w:right="3380"/>
        <w:spacing w:after="0" w:line="341" w:lineRule="auto"/>
        <w:rPr>
          <w:sz w:val="20"/>
          <w:szCs w:val="20"/>
          <w:color w:val="auto"/>
        </w:rPr>
      </w:pPr>
      <w:r>
        <w:rPr>
          <w:rFonts w:ascii="Times New Roman" w:cs="Times New Roman" w:eastAsia="Times New Roman" w:hAnsi="Times New Roman"/>
          <w:sz w:val="18"/>
          <w:szCs w:val="18"/>
          <w:b w:val="1"/>
          <w:bCs w:val="1"/>
          <w:color w:val="auto"/>
        </w:rPr>
        <w:t xml:space="preserve">Other public company directorships in the past five years </w:t>
      </w:r>
      <w:r>
        <w:rPr>
          <w:rFonts w:ascii="Times New Roman" w:cs="Times New Roman" w:eastAsia="Times New Roman" w:hAnsi="Times New Roman"/>
          <w:sz w:val="18"/>
          <w:szCs w:val="18"/>
          <w:color w:val="auto"/>
        </w:rPr>
        <w:t>None</w:t>
      </w:r>
    </w:p>
    <w:tbl>
      <w:tblPr>
        <w:tblLayout w:type="fixed"/>
        <w:tblInd w:w="0" w:type="dxa"/>
        <w:tblCellMar>
          <w:top w:w="0" w:type="dxa"/>
          <w:left w:w="0" w:type="dxa"/>
          <w:bottom w:w="0" w:type="dxa"/>
          <w:right w:w="0" w:type="dxa"/>
        </w:tblCellMar>
      </w:tblPr>
      <w:tr>
        <w:trPr>
          <w:trHeight w:val="278"/>
        </w:trPr>
        <w:tc>
          <w:tcPr>
            <w:tcW w:w="2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Board/Committee Membership</w:t>
            </w:r>
          </w:p>
        </w:tc>
        <w:tc>
          <w:tcPr>
            <w:tcW w:w="236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Attendance</w:t>
            </w:r>
          </w:p>
        </w:tc>
        <w:tc>
          <w:tcPr>
            <w:tcW w:w="900" w:type="dxa"/>
            <w:vAlign w:val="bottom"/>
            <w:tcBorders>
              <w:top w:val="single" w:sz="8" w:color="auto"/>
            </w:tcBorders>
          </w:tcPr>
          <w:p>
            <w:pPr>
              <w:spacing w:after="0"/>
              <w:rPr>
                <w:sz w:val="24"/>
                <w:szCs w:val="24"/>
                <w:color w:val="auto"/>
              </w:rPr>
            </w:pPr>
          </w:p>
        </w:tc>
      </w:tr>
      <w:tr>
        <w:trPr>
          <w:trHeight w:val="68"/>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77"/>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(joined in December, 2025)</w:t>
            </w:r>
          </w:p>
        </w:tc>
        <w:tc>
          <w:tcPr>
            <w:tcW w:w="2360" w:type="dxa"/>
            <w:vAlign w:val="bottom"/>
            <w:tcBorders>
              <w:right w:val="single" w:sz="8" w:color="auto"/>
            </w:tcBorders>
          </w:tcPr>
          <w:p>
            <w:pPr>
              <w:spacing w:after="0"/>
              <w:rPr>
                <w:sz w:val="24"/>
                <w:szCs w:val="24"/>
                <w:color w:val="auto"/>
              </w:rPr>
            </w:pPr>
          </w:p>
        </w:tc>
        <w:tc>
          <w:tcPr>
            <w:tcW w:w="1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 of 2</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r>
      <w:tr>
        <w:trPr>
          <w:trHeight w:val="67"/>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385"/>
        </w:trPr>
        <w:tc>
          <w:tcPr>
            <w:tcW w:w="2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Equity Ownership </w:t>
            </w:r>
            <w:r>
              <w:rPr>
                <w:rFonts w:ascii="Times New Roman" w:cs="Times New Roman" w:eastAsia="Times New Roman" w:hAnsi="Times New Roman"/>
                <w:sz w:val="29"/>
                <w:szCs w:val="29"/>
                <w:b w:val="1"/>
                <w:bCs w:val="1"/>
                <w:i w:val="1"/>
                <w:iCs w:val="1"/>
                <w:color w:val="auto"/>
                <w:vertAlign w:val="superscript"/>
              </w:rPr>
              <w:t>(1)</w:t>
            </w:r>
          </w:p>
        </w:tc>
        <w:tc>
          <w:tcPr>
            <w:tcW w:w="1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55"/>
        </w:trPr>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Options</w:t>
            </w: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tc>
      </w:tr>
      <w:tr>
        <w:trPr>
          <w:trHeight w:val="238"/>
        </w:trPr>
        <w:tc>
          <w:tcPr>
            <w:tcW w:w="272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188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i w:val="1"/>
                <w:iCs w:val="1"/>
                <w:color w:val="auto"/>
                <w:w w:val="99"/>
              </w:rPr>
              <w:t>(RSUs)</w:t>
            </w:r>
          </w:p>
        </w:tc>
        <w:tc>
          <w:tcPr>
            <w:tcW w:w="900" w:type="dxa"/>
            <w:vAlign w:val="bottom"/>
          </w:tcPr>
          <w:p>
            <w:pPr>
              <w:spacing w:after="0"/>
              <w:rPr>
                <w:sz w:val="20"/>
                <w:szCs w:val="20"/>
                <w:color w:val="auto"/>
              </w:rPr>
            </w:pPr>
          </w:p>
        </w:tc>
      </w:tr>
      <w:tr>
        <w:trPr>
          <w:trHeight w:val="67"/>
        </w:trPr>
        <w:tc>
          <w:tcPr>
            <w:tcW w:w="272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77"/>
        </w:trPr>
        <w:tc>
          <w:tcPr>
            <w:tcW w:w="2720" w:type="dxa"/>
            <w:vAlign w:val="bottom"/>
            <w:tcBorders>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12,625</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8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28,542</w:t>
            </w:r>
          </w:p>
        </w:tc>
        <w:tc>
          <w:tcPr>
            <w:tcW w:w="900" w:type="dxa"/>
            <w:vAlign w:val="bottom"/>
          </w:tcPr>
          <w:p>
            <w:pPr>
              <w:spacing w:after="0"/>
              <w:rPr>
                <w:sz w:val="24"/>
                <w:szCs w:val="24"/>
                <w:color w:val="auto"/>
              </w:rPr>
            </w:pPr>
          </w:p>
        </w:tc>
      </w:tr>
      <w:tr>
        <w:trPr>
          <w:trHeight w:val="81"/>
        </w:trPr>
        <w:tc>
          <w:tcPr>
            <w:tcW w:w="272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2700" w:space="600"/>
            <w:col w:w="7860"/>
          </w:cols>
          <w:pgMar w:left="400" w:top="1201" w:right="339" w:bottom="1440" w:gutter="0" w:footer="0" w:header="0"/>
        </w:sectPr>
      </w:pP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31750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1201" w:right="33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w:t>
      </w:r>
    </w:p>
    <w:p>
      <w:pPr>
        <w:spacing w:after="0" w:line="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 </w:t>
      </w:r>
    </w:p>
    <w:p>
      <w:pPr>
        <w:ind w:left="80"/>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Yuan Z. Qu</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34</w:t>
      </w:r>
    </w:p>
    <w:p>
      <w:pPr>
        <w:spacing w:after="0" w:line="9" w:lineRule="exact"/>
        <w:rPr>
          <w:sz w:val="20"/>
          <w:szCs w:val="20"/>
          <w:color w:val="auto"/>
        </w:rPr>
      </w:pPr>
    </w:p>
    <w:p>
      <w:pPr>
        <w:ind w:left="80" w:right="600"/>
        <w:spacing w:after="0" w:line="265" w:lineRule="auto"/>
        <w:rPr>
          <w:sz w:val="20"/>
          <w:szCs w:val="20"/>
          <w:color w:val="auto"/>
        </w:rPr>
      </w:pPr>
      <w:r>
        <w:rPr>
          <w:rFonts w:ascii="Times New Roman" w:cs="Times New Roman" w:eastAsia="Times New Roman" w:hAnsi="Times New Roman"/>
          <w:sz w:val="17"/>
          <w:szCs w:val="17"/>
          <w:b w:val="1"/>
          <w:bCs w:val="1"/>
          <w:color w:val="auto"/>
        </w:rPr>
        <w:t>Municipality of residence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Oakland, California, USA </w:t>
      </w:r>
      <w:r>
        <w:rPr>
          <w:rFonts w:ascii="Times New Roman" w:cs="Times New Roman" w:eastAsia="Times New Roman" w:hAnsi="Times New Roman"/>
          <w:sz w:val="17"/>
          <w:szCs w:val="17"/>
          <w:b w:val="1"/>
          <w:bCs w:val="1"/>
          <w:color w:val="auto"/>
        </w:rPr>
        <w:t>Citizenship</w:t>
      </w:r>
      <w:r>
        <w:rPr>
          <w:rFonts w:ascii="Times New Roman" w:cs="Times New Roman" w:eastAsia="Times New Roman" w:hAnsi="Times New Roman"/>
          <w:sz w:val="17"/>
          <w:szCs w:val="17"/>
          <w:color w:val="auto"/>
        </w:rPr>
        <w:t>: Canadian</w:t>
      </w:r>
      <w:r>
        <w:rPr>
          <w:rFonts w:ascii="Times New Roman" w:cs="Times New Roman" w:eastAsia="Times New Roman" w:hAnsi="Times New Roman"/>
          <w:sz w:val="17"/>
          <w:szCs w:val="17"/>
          <w:b w:val="1"/>
          <w:bCs w:val="1"/>
          <w:color w:val="auto"/>
        </w:rPr>
        <w:t xml:space="preserve"> Director since</w:t>
      </w:r>
      <w:r>
        <w:rPr>
          <w:rFonts w:ascii="Times New Roman" w:cs="Times New Roman" w:eastAsia="Times New Roman" w:hAnsi="Times New Roman"/>
          <w:sz w:val="17"/>
          <w:szCs w:val="17"/>
          <w:color w:val="auto"/>
        </w:rPr>
        <w:t>: June, 2025</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Non-independent</w:t>
      </w:r>
    </w:p>
    <w:p>
      <w:pPr>
        <w:spacing w:after="0" w:line="20" w:lineRule="exact"/>
        <w:rPr>
          <w:sz w:val="20"/>
          <w:szCs w:val="20"/>
          <w:color w:val="auto"/>
        </w:rPr>
      </w:pPr>
      <w:r>
        <w:rPr>
          <w:sz w:val="20"/>
          <w:szCs w:val="20"/>
          <w:color w:val="auto"/>
        </w:rPr>
        <w:br w:type="column"/>
      </w:r>
    </w:p>
    <w:p>
      <w:pPr>
        <w:jc w:val="both"/>
        <w:ind w:left="60" w:right="60"/>
        <w:spacing w:after="0" w:line="253" w:lineRule="auto"/>
        <w:rPr>
          <w:sz w:val="20"/>
          <w:szCs w:val="20"/>
          <w:color w:val="auto"/>
        </w:rPr>
      </w:pPr>
      <w:r>
        <w:rPr>
          <w:rFonts w:ascii="Times New Roman" w:cs="Times New Roman" w:eastAsia="Times New Roman" w:hAnsi="Times New Roman"/>
          <w:sz w:val="18"/>
          <w:szCs w:val="18"/>
          <w:color w:val="auto"/>
        </w:rPr>
        <w:t>Ms. Yuan Z. Qu has served as a director of our company since June 2025. She is the Vice President of Strategy and Innovation of one of our U.S. subsidiaries and plays a leading role in the development of our U.S. operations. Ms. Qu is based in Walnut Creek, California, and leads strategic initiatives focused on growth, innovation, and long-term competitiveness across global markets. She is responsible for evaluating organizational performance, identifying key development opportunities, and guiding strategic decision-making in coordination with internal leadership. Prior to rejoining our company in 2024, Ms. Qu was a Consultant at McKinsey &amp; Company in San Francisco, where she advised clients in a variety of sectors, primarily in energy and infrastructure. She led market entry strategies in renewables, conducted buy-side diligence across emerging technologies, and advised early-stage climate tech companies. From 2016 to 2019, Ms. Qu worked in our New York office in the Mergers and Acquisitions group, where she managed strategic sales of over $600 million in solar projects across the Americas and led investor relations efforts in Latin America and Asia. She holds an MBA from the Haas School of Business at the University of California, Berkeley, and a Bachelor of Arts in Asian Studies and Sociology from Swarthmore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-1840230</wp:posOffset>
            </wp:positionV>
            <wp:extent cx="7132320" cy="4072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072255"/>
                    </a:xfrm>
                    <a:prstGeom prst="rect">
                      <a:avLst/>
                    </a:prstGeom>
                    <a:noFill/>
                  </pic:spPr>
                </pic:pic>
              </a:graphicData>
            </a:graphic>
          </wp:anchor>
        </w:drawing>
      </w:r>
    </w:p>
    <w:p>
      <w:pPr>
        <w:spacing w:after="0" w:line="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Areas of expertise/experience</w:t>
      </w:r>
    </w:p>
    <w:p>
      <w:pPr>
        <w:spacing w:after="0" w:line="81" w:lineRule="exact"/>
        <w:rPr>
          <w:sz w:val="20"/>
          <w:szCs w:val="20"/>
          <w:color w:val="auto"/>
        </w:rPr>
      </w:pPr>
    </w:p>
    <w:p>
      <w:pPr>
        <w:ind w:left="220" w:hanging="151"/>
        <w:spacing w:after="0"/>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Management                    ● Strategy</w:t>
      </w:r>
    </w:p>
    <w:p>
      <w:pPr>
        <w:spacing w:after="0" w:line="27" w:lineRule="exact"/>
        <w:rPr>
          <w:rFonts w:ascii="Times New Roman" w:cs="Times New Roman" w:eastAsia="Times New Roman" w:hAnsi="Times New Roman"/>
          <w:sz w:val="18"/>
          <w:szCs w:val="18"/>
          <w:color w:val="auto"/>
        </w:rPr>
      </w:pPr>
    </w:p>
    <w:p>
      <w:pPr>
        <w:ind w:left="220" w:hanging="151"/>
        <w:spacing w:after="0"/>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 Risk Management</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in the past five years</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Board/Committee Membership</w:t>
            </w:r>
          </w:p>
        </w:tc>
        <w:tc>
          <w:tcPr>
            <w:tcW w:w="236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Attendance</w:t>
            </w:r>
          </w:p>
        </w:tc>
        <w:tc>
          <w:tcPr>
            <w:tcW w:w="900" w:type="dxa"/>
            <w:vAlign w:val="bottom"/>
            <w:tcBorders>
              <w:top w:val="single" w:sz="8" w:color="auto"/>
            </w:tcBorders>
          </w:tcPr>
          <w:p>
            <w:pPr>
              <w:spacing w:after="0"/>
              <w:rPr>
                <w:sz w:val="24"/>
                <w:szCs w:val="24"/>
                <w:color w:val="auto"/>
              </w:rPr>
            </w:pPr>
          </w:p>
        </w:tc>
      </w:tr>
      <w:tr>
        <w:trPr>
          <w:trHeight w:val="67"/>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77"/>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Board (joined in June, 2025)</w:t>
            </w:r>
          </w:p>
        </w:tc>
        <w:tc>
          <w:tcPr>
            <w:tcW w:w="2360" w:type="dxa"/>
            <w:vAlign w:val="bottom"/>
            <w:tcBorders>
              <w:right w:val="single" w:sz="8" w:color="auto"/>
            </w:tcBorders>
          </w:tcPr>
          <w:p>
            <w:pPr>
              <w:spacing w:after="0"/>
              <w:rPr>
                <w:sz w:val="24"/>
                <w:szCs w:val="24"/>
                <w:color w:val="auto"/>
              </w:rPr>
            </w:pPr>
          </w:p>
        </w:tc>
        <w:tc>
          <w:tcPr>
            <w:tcW w:w="1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8 of 8</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100% </w:t>
            </w:r>
          </w:p>
        </w:tc>
      </w:tr>
      <w:tr>
        <w:trPr>
          <w:trHeight w:val="68"/>
        </w:trPr>
        <w:tc>
          <w:tcPr>
            <w:tcW w:w="272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385"/>
        </w:trPr>
        <w:tc>
          <w:tcPr>
            <w:tcW w:w="2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Equity Ownership </w:t>
            </w:r>
            <w:r>
              <w:rPr>
                <w:rFonts w:ascii="Times New Roman" w:cs="Times New Roman" w:eastAsia="Times New Roman" w:hAnsi="Times New Roman"/>
                <w:sz w:val="29"/>
                <w:szCs w:val="29"/>
                <w:b w:val="1"/>
                <w:bCs w:val="1"/>
                <w:i w:val="1"/>
                <w:iCs w:val="1"/>
                <w:color w:val="auto"/>
                <w:vertAlign w:val="superscript"/>
              </w:rPr>
              <w:t>(1)</w:t>
            </w:r>
          </w:p>
        </w:tc>
        <w:tc>
          <w:tcPr>
            <w:tcW w:w="1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77"/>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tc>
        <w:tc>
          <w:tcPr>
            <w:tcW w:w="2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(RSUs)</w:t>
            </w:r>
          </w:p>
        </w:tc>
      </w:tr>
      <w:tr>
        <w:trPr>
          <w:trHeight w:val="68"/>
        </w:trPr>
        <w:tc>
          <w:tcPr>
            <w:tcW w:w="272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77"/>
        </w:trPr>
        <w:tc>
          <w:tcPr>
            <w:tcW w:w="2720" w:type="dxa"/>
            <w:vAlign w:val="bottom"/>
            <w:tcBorders>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1,851</w:t>
            </w:r>
          </w:p>
        </w:tc>
        <w:tc>
          <w:tcPr>
            <w:tcW w:w="236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Nil</w:t>
            </w:r>
          </w:p>
        </w:tc>
        <w:tc>
          <w:tcPr>
            <w:tcW w:w="1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8,309</w:t>
            </w:r>
          </w:p>
        </w:tc>
        <w:tc>
          <w:tcPr>
            <w:tcW w:w="900" w:type="dxa"/>
            <w:vAlign w:val="bottom"/>
          </w:tcPr>
          <w:p>
            <w:pPr>
              <w:spacing w:after="0"/>
              <w:rPr>
                <w:sz w:val="24"/>
                <w:szCs w:val="24"/>
                <w:color w:val="auto"/>
              </w:rPr>
            </w:pPr>
          </w:p>
        </w:tc>
      </w:tr>
      <w:tr>
        <w:trPr>
          <w:trHeight w:val="81"/>
        </w:trPr>
        <w:tc>
          <w:tcPr>
            <w:tcW w:w="272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2660" w:space="720"/>
            <w:col w:w="7860"/>
          </w:cols>
          <w:pgMar w:left="320" w:top="985" w:right="339"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31"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April 30, 2026.</w:t>
      </w:r>
    </w:p>
    <w:p>
      <w:pPr>
        <w:spacing w:after="0" w:line="204"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Includes common shares, options and RSUs held by Ms. Hanbing Zhang, the wife of Dr. Qu.</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Director Term Limits and Other Mechanisms of Board Renewal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Two of the seven director nominees joined the Board for the first time within the past five years. The Corporation has not adopted term limits for Board members, but facilitates Board renewal by reviewing and evaluating the performance and independence of Board members and Board committees annually. The Corporation seeks to foster a balance between new perspectives and the experience of seasoned Board members. The Corporation believes a policy imposing a term limit or an arbitrary retirement age would discount the value of experience and unnecessarily deprive the Corporation of the contribution of Board members who have developed a deep knowledge of the Corporation and its businesses over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Auditors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Management of the Corporation proposes that Deloitte Touche Tohmatsu Certified Public Accountants LLP (</w:t>
      </w:r>
      <w:r>
        <w:rPr>
          <w:rFonts w:ascii="Times New Roman" w:cs="Times New Roman" w:eastAsia="Times New Roman" w:hAnsi="Times New Roman"/>
          <w:sz w:val="18"/>
          <w:szCs w:val="18"/>
          <w:b w:val="1"/>
          <w:bCs w:val="1"/>
          <w:i w:val="1"/>
          <w:iCs w:val="1"/>
          <w:color w:val="auto"/>
        </w:rPr>
        <w:t>DTT LLP</w:t>
      </w:r>
      <w:r>
        <w:rPr>
          <w:rFonts w:ascii="Times New Roman" w:cs="Times New Roman" w:eastAsia="Times New Roman" w:hAnsi="Times New Roman"/>
          <w:sz w:val="18"/>
          <w:szCs w:val="18"/>
          <w:color w:val="auto"/>
        </w:rPr>
        <w:t>) be appointed as auditors of the Corporation, to hold office until the close of the next annual meeting of the Shareholders or until its successor is appointed and that the directors of the Corporation be authorized to fix their remuneration. DTT LLP has been appointed as auditors of the Corporation since 2006. This is an ordinary resolution, which needs to be passed by a simple majority of the votes cast by the shareholders present in person or represented by proxy and entitled to vote at the Meeting.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6B “Compensation of Directors and Executive Officers ─ Cash Compensation” and “Compensation of Directors and Executive Officers</w:t>
      </w:r>
    </w:p>
    <w:p>
      <w:pPr>
        <w:spacing w:after="0" w:line="27" w:lineRule="exact"/>
        <w:rPr>
          <w:sz w:val="20"/>
          <w:szCs w:val="20"/>
          <w:color w:val="auto"/>
        </w:rPr>
      </w:pPr>
    </w:p>
    <w:p>
      <w:pPr>
        <w:ind w:firstLine="8"/>
        <w:spacing w:after="0" w:line="260" w:lineRule="auto"/>
        <w:tabs>
          <w:tab w:leader="none" w:pos="1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and Item 6C “Board Practices ─ Director Agreements” and “Board Practices ─ Indemnification of Directors and Officers” of Form 20-F.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Management Contracts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6C “Board Practices ─ Employment Agreements” of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See Item 6B “Compensation of Directors and Executive Officers ─ Cash Compensation,” “Compensation of Directors and Executive Officers ─ Restricted Share Units,” “Compensation of Directors and Executive Officers ─ CSI Solar Incentive Plan” and Item 6C “Board Practices ─ Director Agreements” and “Board Practices ─ Indemnification of Directors and Officers” of Form 20-F.</w:t>
      </w:r>
    </w:p>
    <w:p>
      <w:pPr>
        <w:spacing w:after="0" w:line="1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7 “Major Shareholders and Related Party Transactions” of Form 20-F.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INSIDERS IN MATERIAL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6C “Board Practices ─ Interested Transactions” and Item 7B “Major Shareholders and Related Party Transactions - Related Party Transactions” of Form 20-F.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10C “Material Contracts” of Form 20-F.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CERTAIN PERSONS OR COMPANIES IN MATTERS TO BE ACTED UPON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in this Circular, management is not aware of any material interest, direct or indirect, by way of beneficial ownership of securities or otherwise, of any director or executive officer or any associate or affiliate of any of the foregoing in any matter to be acted on at the Meeting.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term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xml:space="preserve"> refers to a registered holder of common shares. The term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refers to common shares in the capital stock of the Corporation.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where noted, all information in this Circular is as of May 18, 2026.</w:t>
      </w:r>
    </w:p>
    <w:p>
      <w:pPr>
        <w:spacing w:after="0" w:line="2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APPROVAL OF CIRCULAR BY BOARD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contents and the sending of this Circular have been approved by the Board.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at Kitchener, Canada this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May 2026.</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173990</wp:posOffset>
            </wp:positionV>
            <wp:extent cx="2040255" cy="38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402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Shawn (Xiaohua) Qu</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Executive Chairman of the Board and Chief Technology Officer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b w:val="1"/>
          <w:bCs w:val="1"/>
          <w:color w:val="auto"/>
        </w:rPr>
        <w:t>FORM 20-F OF CANADIAN SOLAR INC. FOR THE YEAR ENDED DECEMBER 31, 2025</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Form 20-F for the year ended December 31, 2025 can be found and viewed on the SEC’s website at www.sec.gov.</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2026-06-12T15:13:19Z</dcterms:created>
  <dcterms:modified xsi:type="dcterms:W3CDTF">2026-06-12T15:13:19Z</dcterms:modified>
</cp:coreProperties>
</file>