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0" w:name="tm2624986d1_s8.htm"/>
      <w:bookmarkStart w:id="1" w:name="kstm2624986d1_s8"/>
      <w:bookmarkEnd w:id="0"/>
      <w:bookmarkEnd w:id="1"/>
      <w:r>
        <w:rPr>
          <w:rFonts w:ascii="Times New Roman;Times;Serif" w:hAnsi="Times New Roman;Times;Serif"/>
          <w:b/>
          <w:i w:val="false"/>
          <w:caps w:val="false"/>
          <w:smallCaps w:val="false"/>
          <w:sz w:val="20"/>
        </w:rPr>
        <w:t>As filed with the Securities and Exchange Commission on September 21, 2026</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6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CANADIAN SOLAR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Company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3740"/>
        <w:gridCol w:w="2915"/>
      </w:tblGrid>
      <w:tr>
        <w:trPr/>
        <w:tc>
          <w:tcPr>
            <w:tcW w:w="37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 or</w:t>
              <w:br/>
              <w:t>organization)</w:t>
            </w:r>
          </w:p>
          <w:p>
            <w:pPr>
              <w:pStyle w:val="TableContents"/>
              <w:bidi w:val="0"/>
              <w:spacing w:before="0" w:after="0"/>
              <w:ind w:left="0" w:right="0" w:hanging="0"/>
              <w:jc w:val="center"/>
              <w:rPr>
                <w:caps w:val="false"/>
                <w:smallCaps w:val="false"/>
              </w:rPr>
            </w:pPr>
            <w:r>
              <w:rPr>
                <w:caps w:val="false"/>
                <w:smallCaps w:val="false"/>
              </w:rPr>
              <w:t> </w:t>
            </w:r>
          </w:p>
        </w:tc>
        <w:tc>
          <w:tcPr>
            <w:tcW w:w="29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p>
            <w:pPr>
              <w:pStyle w:val="TableContents"/>
              <w:bidi w:val="0"/>
              <w:spacing w:before="0" w:after="0"/>
              <w:ind w:left="0" w:right="0" w:hanging="0"/>
              <w:jc w:val="center"/>
              <w:rPr>
                <w:caps w:val="false"/>
                <w:smallCaps w:val="false"/>
              </w:rPr>
            </w:pPr>
            <w:r>
              <w:rPr>
                <w:caps w:val="false"/>
                <w:smallCaps w:val="false"/>
              </w:rPr>
              <w:t> </w:t>
            </w:r>
          </w:p>
        </w:tc>
      </w:tr>
      <w:tr>
        <w:trPr/>
        <w:tc>
          <w:tcPr>
            <w:tcW w:w="374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4273 King Street East, 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Kitchener, Ontario, Canada</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29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N2P 2E9</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CANADIAN SOLAR INC. AMENDED AND RESTATED SHARE INCENTIVE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 Corporation System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Liberty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NY 10005</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(212) 894-8940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to:</w:t>
      </w:r>
    </w:p>
    <w:tbl>
      <w:tblPr>
        <w:tblW w:w="6505" w:type="dxa"/>
        <w:jc w:val="left"/>
        <w:tblInd w:w="0" w:type="dxa"/>
        <w:tblLayout w:type="fixed"/>
        <w:tblCellMar>
          <w:top w:w="0" w:type="dxa"/>
          <w:left w:w="0" w:type="dxa"/>
          <w:bottom w:w="0" w:type="dxa"/>
          <w:right w:w="0" w:type="dxa"/>
        </w:tblCellMar>
      </w:tblPr>
      <w:tblGrid>
        <w:gridCol w:w="2975"/>
        <w:gridCol w:w="3530"/>
      </w:tblGrid>
      <w:tr>
        <w:trPr/>
        <w:tc>
          <w:tcPr>
            <w:tcW w:w="297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Xinbo Zhu, Chief Financial Officer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4273 King Street East, 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Kitchener, Ontario, N2P 2E9</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Canada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 1 519-837-1881</w:t>
            </w:r>
          </w:p>
        </w:tc>
        <w:tc>
          <w:tcPr>
            <w:tcW w:w="35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Mengyu Lu</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Justin You Zhou</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Kirkland &amp; Ellis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26th Floor, Gloucester Tower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Landmark, 15 Queen’s Road Central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 S.A.R., China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+852 3761 3300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Company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615" w:type="dxa"/>
        <w:jc w:val="left"/>
        <w:tblInd w:w="0" w:type="dxa"/>
        <w:tblLayout w:type="fixed"/>
        <w:tblCellMar>
          <w:top w:w="0" w:type="dxa"/>
          <w:left w:w="0" w:type="dxa"/>
          <w:bottom w:w="0" w:type="dxa"/>
          <w:right w:w="0" w:type="dxa"/>
        </w:tblCellMar>
      </w:tblPr>
      <w:tblGrid>
        <w:gridCol w:w="2105"/>
        <w:gridCol w:w="2510"/>
      </w:tblGrid>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  ☒</w:t>
            </w:r>
          </w:p>
        </w:tc>
        <w:tc>
          <w:tcPr>
            <w:tcW w:w="25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Accelerated filer  ☐</w:t>
            </w:r>
          </w:p>
        </w:tc>
      </w:tr>
      <w:tr>
        <w:trPr/>
        <w:tc>
          <w:tcPr>
            <w:tcW w:w="21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    ☐</w:t>
            </w:r>
          </w:p>
        </w:tc>
        <w:tc>
          <w:tcPr>
            <w:tcW w:w="25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Smaller reporting company  ☐</w:t>
            </w:r>
          </w:p>
        </w:tc>
      </w:tr>
      <w:tr>
        <w:trPr/>
        <w:tc>
          <w:tcPr>
            <w:tcW w:w="210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Company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Times;Serif" w:hAnsi="Times New Roman;Times;Serif"/>
          <w:b w:val="false"/>
          <w:i w:val="false"/>
          <w:caps w:val="false"/>
          <w:smallCaps w:val="false"/>
          <w:sz w:val="20"/>
        </w:rPr>
        <w:t xml:space="preserve">Pursuant to General Instruction E of Form S-8, Canadian Solar Inc. (the “Company”) is filing this Registration Statement with the Securities and Exchange Commission (the “SEC”) to register an additional 4,000,000 common shares of the Company (the “Common Shares”) for issuance under the Canadian Solar Inc. Amended and Restated Share Incentive Plan (the “Plan”) pursuant to the “evergreen” provision therein. The total number of Common Shares issuable pursuant to awards under the Plan shall increase annually on the first business day of each calendar year by two and one-half percent of the number of Common Shares outstanding as of such date or a lesser number as determined by the board of the registrant or a committee designated by the board of the registrant to administer the Plan. This Registration Statement hereby incorporates by reference the contents of the Company’s registration statements on Form S-8 filed with the SEC on October 31, 2007 </w:t>
      </w:r>
      <w:hyperlink r:id="rId2">
        <w:r>
          <w:rPr>
            <w:rStyle w:val="InternetLink"/>
            <w:rFonts w:ascii="Times New Roman;Times;Serif" w:hAnsi="Times New Roman;Times;Serif"/>
            <w:b w:val="false"/>
            <w:i w:val="false"/>
            <w:caps w:val="false"/>
            <w:smallCaps w:val="false"/>
            <w:sz w:val="20"/>
          </w:rPr>
          <w:t>(File No. 333-147042)</w:t>
        </w:r>
      </w:hyperlink>
      <w:r>
        <w:rPr>
          <w:rFonts w:ascii="Times New Roman;Times;Serif" w:hAnsi="Times New Roman;Times;Serif"/>
          <w:b w:val="false"/>
          <w:i w:val="false"/>
          <w:caps w:val="false"/>
          <w:smallCaps w:val="false"/>
          <w:sz w:val="20"/>
        </w:rPr>
        <w:t xml:space="preserve">, November 25, 2011 </w:t>
      </w:r>
      <w:hyperlink r:id="rId3">
        <w:r>
          <w:rPr>
            <w:rStyle w:val="InternetLink"/>
            <w:rFonts w:ascii="Times New Roman;Times;Serif" w:hAnsi="Times New Roman;Times;Serif"/>
            <w:b w:val="false"/>
            <w:i w:val="false"/>
            <w:caps w:val="false"/>
            <w:smallCaps w:val="false"/>
            <w:sz w:val="20"/>
          </w:rPr>
          <w:t>(File No. 333-178187)</w:t>
        </w:r>
      </w:hyperlink>
      <w:r>
        <w:rPr>
          <w:rFonts w:ascii="Times New Roman;Times;Serif" w:hAnsi="Times New Roman;Times;Serif"/>
          <w:b w:val="false"/>
          <w:i w:val="false"/>
          <w:caps w:val="false"/>
          <w:smallCaps w:val="false"/>
          <w:sz w:val="20"/>
        </w:rPr>
        <w:t xml:space="preserve"> and January 30, 2015 </w:t>
      </w:r>
      <w:hyperlink r:id="rId4">
        <w:r>
          <w:rPr>
            <w:rStyle w:val="InternetLink"/>
            <w:rFonts w:ascii="Times New Roman;Times;Serif" w:hAnsi="Times New Roman;Times;Serif"/>
            <w:b w:val="false"/>
            <w:i w:val="false"/>
            <w:caps w:val="false"/>
            <w:smallCaps w:val="false"/>
            <w:sz w:val="20"/>
          </w:rPr>
          <w:t>(File No. 333-201766)</w:t>
        </w:r>
      </w:hyperlink>
      <w:r>
        <w:rPr>
          <w:rFonts w:ascii="Times New Roman;Times;Serif" w:hAnsi="Times New Roman;Times;Serif"/>
          <w:b w:val="false"/>
          <w:i w:val="false"/>
          <w:caps w:val="false"/>
          <w:smallCaps w:val="false"/>
          <w:sz w:val="20"/>
        </w:rPr>
        <w:t>, respectively, to the extent not otherwise amended or superseded by the contents hereof, pursuant to General Instruction E of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SECTION 10(a)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to be filed with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 Registrant Information and Employee Plan Annual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required to be filed with this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 Incorporation of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documents filed by the Company with the SEC are incorporated herein by reference: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57"/>
        <w:gridCol w:w="9911"/>
      </w:tblGrid>
      <w:tr>
        <w:trPr/>
        <w:tc>
          <w:tcPr>
            <w:tcW w:w="3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pPr>
            <w:r>
              <w:rPr/>
              <w:t>(a)</w:t>
            </w:r>
          </w:p>
        </w:tc>
        <w:tc>
          <w:tcPr>
            <w:tcW w:w="9911" w:type="dxa"/>
            <w:tcBorders/>
            <w:vAlign w:val="center"/>
          </w:tcPr>
          <w:p>
            <w:pPr>
              <w:pStyle w:val="TableContents"/>
              <w:bidi w:val="0"/>
              <w:spacing w:before="0" w:after="283"/>
              <w:jc w:val="left"/>
              <w:rPr/>
            </w:pPr>
            <w:hyperlink r:id="rId5">
              <w:r>
                <w:rPr>
                  <w:rStyle w:val="InternetLink"/>
                </w:rPr>
                <w:t>The Company’s annual report on Form 20-F for the fiscal year ended December 31, 2025, filed with the SEC on April 10, 2026; and</w:t>
              </w:r>
            </w:hyperlink>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9"/>
        <w:gridCol w:w="9929"/>
      </w:tblGrid>
      <w:tr>
        <w:trPr/>
        <w:tc>
          <w:tcPr>
            <w:tcW w:w="3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pPr>
            <w:r>
              <w:rPr/>
              <w:t>(b)</w:t>
            </w:r>
          </w:p>
        </w:tc>
        <w:tc>
          <w:tcPr>
            <w:tcW w:w="9929" w:type="dxa"/>
            <w:tcBorders/>
            <w:vAlign w:val="center"/>
          </w:tcPr>
          <w:p>
            <w:pPr>
              <w:pStyle w:val="TableContents"/>
              <w:bidi w:val="0"/>
              <w:spacing w:before="0" w:after="283"/>
              <w:jc w:val="left"/>
              <w:rPr/>
            </w:pPr>
            <w:r>
              <w:rPr/>
              <w:t xml:space="preserve">The description of the Company’s common shares set forth </w:t>
            </w:r>
            <w:hyperlink r:id="rId6">
              <w:r>
                <w:rPr>
                  <w:rStyle w:val="InternetLink"/>
                </w:rPr>
                <w:t>Exhibit 2.2</w:t>
              </w:r>
            </w:hyperlink>
            <w:r>
              <w:rPr/>
              <w:t xml:space="preserve"> to the Company’s annual report on Form 20-F for the fiscal year ended December 31, 2025, filed with the SEC on April 10, 2026, including any amendments or reports filed for the purpose of updating such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all documents subsequently filed by the Company pursuant to Section 13(a), 13(c), 14 and 15(d) of the Securities Exchange Act of 1934, as amended (the “Exchange Act”), prior to filing of a post-effective amendment which indicates that all securities offered have been sold or that deregisters all securities then remaining unsold, including any Reports on Form 6-K furnished by the Registrant to the Commission that indicate that they are incorporated herein by reference, shall be deemed to be incorporated by reference in this Registration Statement and to be a part hereof from the date of filing of such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as part of this Registration Statement: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90"/>
        <w:gridCol w:w="60"/>
        <w:gridCol w:w="9255"/>
      </w:tblGrid>
      <w:tr>
        <w:trPr/>
        <w:tc>
          <w:tcPr>
            <w:tcW w:w="890" w:type="dxa"/>
            <w:tcBorders>
              <w:bottom w:val="single" w:sz="8" w:space="0" w:color="000000"/>
            </w:tcBorders>
            <w:vAlign w:val="center"/>
          </w:tcPr>
          <w:p>
            <w:pPr>
              <w:pStyle w:val="TableContents"/>
              <w:bidi w:val="0"/>
              <w:spacing w:before="0" w:after="283"/>
              <w:jc w:val="left"/>
              <w:rPr>
                <w:b/>
              </w:rPr>
            </w:pPr>
            <w:r>
              <w:rPr>
                <w:b/>
              </w:rPr>
              <w:t>Number</w:t>
            </w:r>
          </w:p>
        </w:tc>
        <w:tc>
          <w:tcPr>
            <w:tcW w:w="60" w:type="dxa"/>
            <w:tcBorders/>
            <w:tcMar>
              <w:bottom w:w="0" w:type="dxa"/>
            </w:tcMar>
            <w:vAlign w:val="center"/>
          </w:tcPr>
          <w:p>
            <w:pPr>
              <w:pStyle w:val="TableContents"/>
              <w:bidi w:val="0"/>
              <w:spacing w:before="0" w:after="283"/>
              <w:jc w:val="left"/>
              <w:rPr/>
            </w:pPr>
            <w:r>
              <w:rPr/>
              <w:t> </w:t>
            </w:r>
          </w:p>
        </w:tc>
        <w:tc>
          <w:tcPr>
            <w:tcW w:w="9255" w:type="dxa"/>
            <w:tcBorders>
              <w:bottom w:val="single" w:sz="8" w:space="0" w:color="000000"/>
            </w:tcBorders>
            <w:vAlign w:val="center"/>
          </w:tcPr>
          <w:p>
            <w:pPr>
              <w:pStyle w:val="TableContents"/>
              <w:bidi w:val="0"/>
              <w:spacing w:before="0" w:after="283"/>
              <w:jc w:val="left"/>
              <w:rPr>
                <w:b/>
              </w:rPr>
            </w:pPr>
            <w:r>
              <w:rPr>
                <w:b/>
              </w:rPr>
              <w:t>Description</w:t>
            </w:r>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7">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8">
              <w:r>
                <w:rPr>
                  <w:rStyle w:val="InternetLink"/>
                  <w:rFonts w:ascii="Times New Roman;Times;Serif" w:hAnsi="Times New Roman;Times;Serif"/>
                  <w:sz w:val="20"/>
                </w:rPr>
                <w:t>Certificates of Continuance and Articles of Continuance (incorporated by reference to Exhibit 1.1 to the Company’s annual report on Form 20-F for the fiscal year ended December 31, 2025)</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9">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10">
              <w:r>
                <w:rPr>
                  <w:rStyle w:val="InternetLink"/>
                  <w:rFonts w:ascii="Times New Roman;Times;Serif" w:hAnsi="Times New Roman;Times;Serif"/>
                  <w:sz w:val="20"/>
                </w:rPr>
                <w:t>Description of Securities registered under Section 12 of the Exchange Act (incorporated by reference to Exhibit 2.2 to the Company’s annual report on Form 20-F for the fiscal year ended December 31, 2025)</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r:id="rId12">
              <w:r>
                <w:rPr>
                  <w:rStyle w:val="InternetLink"/>
                  <w:rFonts w:ascii="Times New Roman;Times;Serif" w:hAnsi="Times New Roman;Times;Serif"/>
                  <w:sz w:val="20"/>
                </w:rPr>
                <w:t>Canadian Solar Inc. Amended and Restated Share Incentive Plan, effective on May 8, 2011 (incorporated by reference to Exhibit 4.1 to the Company’s annual report on Form 20-F for the fiscal year ended December 31, 2016)</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4986d1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4986d1_ex5-1.htm">
              <w:r>
                <w:rPr>
                  <w:rStyle w:val="InternetLink"/>
                  <w:rFonts w:ascii="Times New Roman;Times;Serif" w:hAnsi="Times New Roman;Times;Serif"/>
                  <w:sz w:val="20"/>
                </w:rPr>
                <w:t>Opinion of WeirFoulds LLP</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4986d1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4986d1_ex23-1.htm">
              <w:r>
                <w:rPr>
                  <w:rStyle w:val="InternetLink"/>
                  <w:rFonts w:ascii="Times New Roman;Times;Serif" w:hAnsi="Times New Roman;Times;Serif"/>
                  <w:sz w:val="20"/>
                </w:rPr>
                <w:t>Consent of Deloitte Touche Tohmatsu Certified Public Accountants LLP</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4986d1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4986d1_ex5-1.htm">
              <w:r>
                <w:rPr>
                  <w:rStyle w:val="InternetLink"/>
                  <w:rFonts w:ascii="Times New Roman;Times;Serif" w:hAnsi="Times New Roman;Times;Serif"/>
                  <w:sz w:val="20"/>
                </w:rPr>
                <w:t>Consent of WeirFoulds LLP (included in Exhibit 5.1)</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the signature page hereto)</w:t>
              </w:r>
            </w:hyperlink>
          </w:p>
        </w:tc>
      </w:tr>
      <w:tr>
        <w:trPr/>
        <w:tc>
          <w:tcPr>
            <w:tcW w:w="8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r>
              <w:rPr/>
              <w:t> </w:t>
            </w:r>
          </w:p>
        </w:tc>
      </w:tr>
      <w:tr>
        <w:trPr/>
        <w:tc>
          <w:tcPr>
            <w:tcW w:w="890" w:type="dxa"/>
            <w:tcBorders/>
            <w:tcMar>
              <w:bottom w:w="0" w:type="dxa"/>
            </w:tcMar>
            <w:vAlign w:val="center"/>
          </w:tcPr>
          <w:p>
            <w:pPr>
              <w:pStyle w:val="TableContents"/>
              <w:bidi w:val="0"/>
              <w:spacing w:before="0" w:after="283"/>
              <w:jc w:val="left"/>
              <w:rPr/>
            </w:pPr>
            <w:hyperlink w:anchor="tm2624986d1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9255" w:type="dxa"/>
            <w:tcBorders/>
            <w:tcMar>
              <w:bottom w:w="0" w:type="dxa"/>
            </w:tcMar>
            <w:vAlign w:val="center"/>
          </w:tcPr>
          <w:p>
            <w:pPr>
              <w:pStyle w:val="TableContents"/>
              <w:bidi w:val="0"/>
              <w:spacing w:before="0" w:after="283"/>
              <w:jc w:val="left"/>
              <w:rPr/>
            </w:pPr>
            <w:hyperlink w:anchor="tm2624986d1_ex-filingfees.htm">
              <w:r>
                <w:rPr>
                  <w:rStyle w:val="InternetLink"/>
                  <w:rFonts w:ascii="Times New Roman;Times;Serif" w:hAnsi="Times New Roman;Times;Serif"/>
                  <w:sz w:val="20"/>
                </w:rPr>
                <w:t>Filing Fee Table</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Company certifies that it has reasonable grounds to believe that it meets all of the requirements for filing on Form S-8 and has duly caused this Registration Statement to be signed on its behalf by the undersigned, thereunto duly authorized, in Kitchener, Ontario, Canada, on September 21, 2026.</w:t>
      </w:r>
    </w:p>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75"/>
        <w:gridCol w:w="545"/>
        <w:gridCol w:w="1895"/>
      </w:tblGrid>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CANADIAN SOLAR INC.</w:t>
            </w:r>
          </w:p>
        </w:tc>
      </w:tr>
      <w:tr>
        <w:trPr/>
        <w:tc>
          <w:tcPr>
            <w:tcW w:w="75" w:type="dxa"/>
            <w:tcBorders/>
            <w:vAlign w:val="center"/>
          </w:tcPr>
          <w:p>
            <w:pPr>
              <w:pStyle w:val="TableContents"/>
              <w:bidi w:val="0"/>
              <w:spacing w:before="0" w:after="283"/>
              <w:jc w:val="left"/>
              <w:rPr/>
            </w:pPr>
            <w:r>
              <w:rPr/>
              <w:t> </w:t>
            </w:r>
          </w:p>
        </w:tc>
        <w:tc>
          <w:tcPr>
            <w:tcW w:w="244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Xinbo Zhu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Xinbo Zhu</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hereby authorizes and appoints Mr. Xinbo Zhu, with full power to act alone, as his or her true and lawful attorney-in-fact, with the power of substitution, for and in such person’s name, place and stead, in any and all capacities, to sign any and all amendments (including post-effective amendments) to this Registration Statement, and to file the same, with all exhibits thereto, and other documents in connection therewith, with the SEC, granting unto said attorney-in-fact full power and authority to do and perform each and every act and thing requisite and necessary to be done as fully to all intents and purposes as he or she might or could do in person, hereby ratifying and confirming all that said attorney-in-fact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this Registration statement has been signed by the following persons in the capacities September 21, 2026.</w:t>
      </w:r>
    </w:p>
    <w:p>
      <w:pPr>
        <w:pStyle w:val="TextBody"/>
        <w:bidi w:val="0"/>
        <w:spacing w:before="0" w:after="0"/>
        <w:ind w:left="0" w:right="0" w:hanging="0"/>
        <w:jc w:val="left"/>
        <w:rPr>
          <w:caps w:val="false"/>
          <w:smallCaps w:val="false"/>
        </w:rPr>
      </w:pPr>
      <w:r>
        <w:rPr>
          <w:caps w:val="false"/>
          <w:smallCaps w:val="false"/>
        </w:rPr>
        <w:t> </w:t>
      </w:r>
    </w:p>
    <w:tbl>
      <w:tblPr>
        <w:tblW w:w="6235" w:type="dxa"/>
        <w:jc w:val="left"/>
        <w:tblInd w:w="0" w:type="dxa"/>
        <w:tblLayout w:type="fixed"/>
        <w:tblCellMar>
          <w:top w:w="0" w:type="dxa"/>
          <w:left w:w="0" w:type="dxa"/>
          <w:bottom w:w="28" w:type="dxa"/>
          <w:right w:w="0" w:type="dxa"/>
        </w:tblCellMar>
      </w:tblPr>
      <w:tblGrid>
        <w:gridCol w:w="2000"/>
        <w:gridCol w:w="60"/>
        <w:gridCol w:w="4175"/>
      </w:tblGrid>
      <w:tr>
        <w:trPr/>
        <w:tc>
          <w:tcPr>
            <w:tcW w:w="2000" w:type="dxa"/>
            <w:tcBorders>
              <w:bottom w:val="single" w:sz="8" w:space="0" w:color="000000"/>
            </w:tcBorders>
            <w:vAlign w:val="center"/>
          </w:tcPr>
          <w:p>
            <w:pPr>
              <w:pStyle w:val="TableContents"/>
              <w:bidi w:val="0"/>
              <w:spacing w:before="0" w:after="283"/>
              <w:jc w:val="center"/>
              <w:rPr>
                <w:b/>
                <w:sz w:val="20"/>
              </w:rPr>
            </w:pPr>
            <w:r>
              <w:rPr>
                <w:b/>
                <w:sz w:val="20"/>
              </w:rPr>
              <w:t>Signature</w:t>
            </w:r>
          </w:p>
        </w:tc>
        <w:tc>
          <w:tcPr>
            <w:tcW w:w="60" w:type="dxa"/>
            <w:tcBorders/>
            <w:tcMar>
              <w:bottom w:w="0" w:type="dxa"/>
            </w:tcMar>
            <w:vAlign w:val="center"/>
          </w:tcPr>
          <w:p>
            <w:pPr>
              <w:pStyle w:val="TableContents"/>
              <w:bidi w:val="0"/>
              <w:spacing w:before="0" w:after="283"/>
              <w:jc w:val="left"/>
              <w:rPr/>
            </w:pPr>
            <w:r>
              <w:rPr/>
              <w:t> </w:t>
            </w:r>
          </w:p>
        </w:tc>
        <w:tc>
          <w:tcPr>
            <w:tcW w:w="4175" w:type="dxa"/>
            <w:tcBorders>
              <w:bottom w:val="single" w:sz="8" w:space="0" w:color="000000"/>
            </w:tcBorders>
            <w:vAlign w:val="center"/>
          </w:tcPr>
          <w:p>
            <w:pPr>
              <w:pStyle w:val="TableContents"/>
              <w:bidi w:val="0"/>
              <w:spacing w:before="0" w:after="283"/>
              <w:jc w:val="center"/>
              <w:rPr>
                <w:b/>
                <w:sz w:val="20"/>
              </w:rPr>
            </w:pPr>
            <w:r>
              <w:rPr>
                <w:b/>
                <w:sz w:val="20"/>
              </w:rPr>
              <w:t>Title</w:t>
            </w:r>
          </w:p>
        </w:tc>
      </w:tr>
      <w:tr>
        <w:trPr/>
        <w:tc>
          <w:tcPr>
            <w:tcW w:w="20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8" w:space="0" w:color="000000"/>
            </w:tcBorders>
            <w:vAlign w:val="center"/>
          </w:tcPr>
          <w:p>
            <w:pPr>
              <w:pStyle w:val="TableContents"/>
              <w:bidi w:val="0"/>
              <w:spacing w:before="0" w:after="283"/>
              <w:jc w:val="left"/>
              <w:rPr>
                <w:sz w:val="20"/>
              </w:rPr>
            </w:pPr>
            <w:r>
              <w:rPr>
                <w:sz w:val="20"/>
              </w:rPr>
              <w:t>/s/ Shawn (Xiaohua) Qu</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Executive Chairman and Chief Technology Officer</w:t>
            </w:r>
          </w:p>
        </w:tc>
      </w:tr>
      <w:tr>
        <w:trPr/>
        <w:tc>
          <w:tcPr>
            <w:tcW w:w="2000" w:type="dxa"/>
            <w:tcBorders/>
            <w:tcMar>
              <w:bottom w:w="0" w:type="dxa"/>
            </w:tcMar>
            <w:vAlign w:val="center"/>
          </w:tcPr>
          <w:p>
            <w:pPr>
              <w:pStyle w:val="TableContents"/>
              <w:bidi w:val="0"/>
              <w:spacing w:before="0" w:after="283"/>
              <w:jc w:val="left"/>
              <w:rPr>
                <w:sz w:val="20"/>
              </w:rPr>
            </w:pPr>
            <w:r>
              <w:rPr>
                <w:sz w:val="20"/>
              </w:rPr>
              <w:t>Shawn (Xiaohua) Qu</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8" w:space="0" w:color="000000"/>
            </w:tcBorders>
            <w:vAlign w:val="center"/>
          </w:tcPr>
          <w:p>
            <w:pPr>
              <w:pStyle w:val="TableContents"/>
              <w:bidi w:val="0"/>
              <w:spacing w:before="0" w:after="283"/>
              <w:jc w:val="left"/>
              <w:rPr>
                <w:sz w:val="20"/>
              </w:rPr>
            </w:pPr>
            <w:r>
              <w:rPr>
                <w:sz w:val="20"/>
              </w:rPr>
              <w:t>/s/ Leslie Chang</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Lead Independent Director</w:t>
            </w:r>
          </w:p>
        </w:tc>
      </w:tr>
      <w:tr>
        <w:trPr/>
        <w:tc>
          <w:tcPr>
            <w:tcW w:w="2000" w:type="dxa"/>
            <w:tcBorders/>
            <w:tcMar>
              <w:bottom w:w="0" w:type="dxa"/>
            </w:tcMar>
            <w:vAlign w:val="center"/>
          </w:tcPr>
          <w:p>
            <w:pPr>
              <w:pStyle w:val="TableContents"/>
              <w:bidi w:val="0"/>
              <w:spacing w:before="0" w:after="283"/>
              <w:jc w:val="left"/>
              <w:rPr>
                <w:sz w:val="20"/>
              </w:rPr>
            </w:pPr>
            <w:r>
              <w:rPr>
                <w:sz w:val="20"/>
              </w:rPr>
              <w:t>Leslie Chang</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8" w:space="0" w:color="000000"/>
            </w:tcBorders>
            <w:vAlign w:val="center"/>
          </w:tcPr>
          <w:p>
            <w:pPr>
              <w:pStyle w:val="TableContents"/>
              <w:bidi w:val="0"/>
              <w:spacing w:before="0" w:after="283"/>
              <w:jc w:val="left"/>
              <w:rPr>
                <w:sz w:val="20"/>
              </w:rPr>
            </w:pPr>
            <w:r>
              <w:rPr>
                <w:sz w:val="20"/>
              </w:rPr>
              <w:t>/s/ Harry E. Ruda</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00" w:type="dxa"/>
            <w:tcBorders/>
            <w:tcMar>
              <w:bottom w:w="0" w:type="dxa"/>
            </w:tcMar>
            <w:vAlign w:val="center"/>
          </w:tcPr>
          <w:p>
            <w:pPr>
              <w:pStyle w:val="TableContents"/>
              <w:bidi w:val="0"/>
              <w:spacing w:before="0" w:after="283"/>
              <w:jc w:val="left"/>
              <w:rPr>
                <w:sz w:val="20"/>
              </w:rPr>
            </w:pPr>
            <w:r>
              <w:rPr>
                <w:sz w:val="20"/>
              </w:rPr>
              <w:t>Harry E. Ruda</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8" w:space="0" w:color="000000"/>
            </w:tcBorders>
            <w:vAlign w:val="center"/>
          </w:tcPr>
          <w:p>
            <w:pPr>
              <w:pStyle w:val="TableContents"/>
              <w:bidi w:val="0"/>
              <w:spacing w:before="0" w:after="283"/>
              <w:jc w:val="left"/>
              <w:rPr>
                <w:sz w:val="20"/>
              </w:rPr>
            </w:pPr>
            <w:r>
              <w:rPr>
                <w:sz w:val="20"/>
              </w:rPr>
              <w:t>/s/ Andrew L.C. Wong</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00" w:type="dxa"/>
            <w:tcBorders/>
            <w:tcMar>
              <w:bottom w:w="0" w:type="dxa"/>
            </w:tcMar>
            <w:vAlign w:val="center"/>
          </w:tcPr>
          <w:p>
            <w:pPr>
              <w:pStyle w:val="TableContents"/>
              <w:bidi w:val="0"/>
              <w:spacing w:before="0" w:after="283"/>
              <w:jc w:val="left"/>
              <w:rPr>
                <w:sz w:val="20"/>
              </w:rPr>
            </w:pPr>
            <w:r>
              <w:rPr>
                <w:sz w:val="20"/>
              </w:rPr>
              <w:t>Andrew L.C. Wong</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8" w:space="0" w:color="000000"/>
            </w:tcBorders>
            <w:vAlign w:val="center"/>
          </w:tcPr>
          <w:p>
            <w:pPr>
              <w:pStyle w:val="TableContents"/>
              <w:bidi w:val="0"/>
              <w:spacing w:before="0" w:after="283"/>
              <w:jc w:val="left"/>
              <w:rPr>
                <w:sz w:val="20"/>
              </w:rPr>
            </w:pPr>
            <w:r>
              <w:rPr>
                <w:sz w:val="20"/>
              </w:rPr>
              <w:t>/s/ Lauren C. Templeton</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Independent Director</w:t>
            </w:r>
          </w:p>
        </w:tc>
      </w:tr>
      <w:tr>
        <w:trPr/>
        <w:tc>
          <w:tcPr>
            <w:tcW w:w="2000" w:type="dxa"/>
            <w:tcBorders/>
            <w:tcMar>
              <w:bottom w:w="0" w:type="dxa"/>
            </w:tcMar>
            <w:vAlign w:val="center"/>
          </w:tcPr>
          <w:p>
            <w:pPr>
              <w:pStyle w:val="TableContents"/>
              <w:bidi w:val="0"/>
              <w:spacing w:before="0" w:after="283"/>
              <w:jc w:val="left"/>
              <w:rPr>
                <w:sz w:val="20"/>
              </w:rPr>
            </w:pPr>
            <w:r>
              <w:rPr>
                <w:sz w:val="20"/>
              </w:rPr>
              <w:t>Lauren C. Templeton</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8" w:space="0" w:color="000000"/>
            </w:tcBorders>
            <w:vAlign w:val="center"/>
          </w:tcPr>
          <w:p>
            <w:pPr>
              <w:pStyle w:val="TableContents"/>
              <w:bidi w:val="0"/>
              <w:spacing w:before="0" w:after="283"/>
              <w:jc w:val="left"/>
              <w:rPr>
                <w:sz w:val="20"/>
              </w:rPr>
            </w:pPr>
            <w:r>
              <w:rPr>
                <w:sz w:val="20"/>
              </w:rPr>
              <w:t>/s/ Colin Parkin</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sz w:val="20"/>
              </w:rPr>
            </w:pPr>
            <w:r>
              <w:rPr>
                <w:sz w:val="20"/>
              </w:rPr>
              <w:t>Director and Chief Executive Officer</w:t>
            </w:r>
          </w:p>
        </w:tc>
      </w:tr>
      <w:tr>
        <w:trPr/>
        <w:tc>
          <w:tcPr>
            <w:tcW w:w="2000" w:type="dxa"/>
            <w:tcBorders/>
            <w:tcMar>
              <w:bottom w:w="0" w:type="dxa"/>
            </w:tcMar>
            <w:vAlign w:val="center"/>
          </w:tcPr>
          <w:p>
            <w:pPr>
              <w:pStyle w:val="TableContents"/>
              <w:bidi w:val="0"/>
              <w:spacing w:before="0" w:after="283"/>
              <w:jc w:val="left"/>
              <w:rPr>
                <w:sz w:val="20"/>
              </w:rPr>
            </w:pPr>
            <w:r>
              <w:rPr>
                <w:sz w:val="20"/>
              </w:rPr>
              <w:t>Colin Parkin</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i/>
                <w:sz w:val="20"/>
              </w:rPr>
            </w:pPr>
            <w:r>
              <w:rPr>
                <w:i/>
                <w:sz w:val="20"/>
              </w:rPr>
              <w:t>(Principal Executive Officer)</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8" w:space="0" w:color="000000"/>
            </w:tcBorders>
            <w:vAlign w:val="center"/>
          </w:tcPr>
          <w:p>
            <w:pPr>
              <w:pStyle w:val="TableContents"/>
              <w:bidi w:val="0"/>
              <w:spacing w:before="0" w:after="283"/>
              <w:jc w:val="left"/>
              <w:rPr>
                <w:sz w:val="20"/>
              </w:rPr>
            </w:pPr>
            <w:r>
              <w:rPr>
                <w:sz w:val="20"/>
              </w:rPr>
              <w:t>/s/ Yuan Z. Qu</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r>
      <w:tr>
        <w:trPr/>
        <w:tc>
          <w:tcPr>
            <w:tcW w:w="2000" w:type="dxa"/>
            <w:tcBorders/>
            <w:tcMar>
              <w:bottom w:w="0" w:type="dxa"/>
            </w:tcMar>
            <w:vAlign w:val="center"/>
          </w:tcPr>
          <w:p>
            <w:pPr>
              <w:pStyle w:val="TableContents"/>
              <w:bidi w:val="0"/>
              <w:spacing w:before="0" w:after="283"/>
              <w:jc w:val="left"/>
              <w:rPr>
                <w:sz w:val="20"/>
              </w:rPr>
            </w:pPr>
            <w:r>
              <w:rPr>
                <w:sz w:val="20"/>
              </w:rPr>
              <w:t>Yuan Z. Qu</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pPr>
            <w:r>
              <w:rPr/>
              <w:t> </w:t>
            </w:r>
          </w:p>
        </w:tc>
      </w:tr>
      <w:tr>
        <w:trPr/>
        <w:tc>
          <w:tcPr>
            <w:tcW w:w="2000" w:type="dxa"/>
            <w:tcBorders>
              <w:bottom w:val="single" w:sz="8" w:space="0" w:color="000000"/>
            </w:tcBorders>
            <w:vAlign w:val="center"/>
          </w:tcPr>
          <w:p>
            <w:pPr>
              <w:pStyle w:val="TableContents"/>
              <w:bidi w:val="0"/>
              <w:spacing w:before="0" w:after="283"/>
              <w:jc w:val="left"/>
              <w:rPr>
                <w:sz w:val="20"/>
              </w:rPr>
            </w:pPr>
            <w:r>
              <w:rPr>
                <w:sz w:val="20"/>
              </w:rPr>
              <w:t>/s/ Xinbo Zhu</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sz w:val="20"/>
              </w:rPr>
            </w:pPr>
            <w:r>
              <w:rPr>
                <w:sz w:val="20"/>
              </w:rPr>
              <w:t>Chief Financial Officer</w:t>
            </w:r>
          </w:p>
        </w:tc>
      </w:tr>
      <w:tr>
        <w:trPr/>
        <w:tc>
          <w:tcPr>
            <w:tcW w:w="2000" w:type="dxa"/>
            <w:tcBorders/>
            <w:tcMar>
              <w:bottom w:w="0" w:type="dxa"/>
            </w:tcMar>
            <w:vAlign w:val="center"/>
          </w:tcPr>
          <w:p>
            <w:pPr>
              <w:pStyle w:val="TableContents"/>
              <w:bidi w:val="0"/>
              <w:spacing w:before="0" w:after="283"/>
              <w:jc w:val="left"/>
              <w:rPr>
                <w:sz w:val="20"/>
              </w:rPr>
            </w:pPr>
            <w:r>
              <w:rPr>
                <w:sz w:val="20"/>
              </w:rPr>
              <w:t>Xinbo Zhu</w:t>
            </w:r>
          </w:p>
        </w:tc>
        <w:tc>
          <w:tcPr>
            <w:tcW w:w="60" w:type="dxa"/>
            <w:tcBorders/>
            <w:tcMar>
              <w:bottom w:w="0" w:type="dxa"/>
            </w:tcMar>
            <w:vAlign w:val="center"/>
          </w:tcPr>
          <w:p>
            <w:pPr>
              <w:pStyle w:val="TableContents"/>
              <w:bidi w:val="0"/>
              <w:spacing w:before="0" w:after="283"/>
              <w:jc w:val="left"/>
              <w:rPr/>
            </w:pPr>
            <w:r>
              <w:rPr/>
              <w:t> </w:t>
            </w:r>
          </w:p>
        </w:tc>
        <w:tc>
          <w:tcPr>
            <w:tcW w:w="4175" w:type="dxa"/>
            <w:tcBorders/>
            <w:tcMar>
              <w:bottom w:w="0" w:type="dxa"/>
            </w:tcMar>
            <w:vAlign w:val="center"/>
          </w:tcPr>
          <w:p>
            <w:pPr>
              <w:pStyle w:val="TableContents"/>
              <w:bidi w:val="0"/>
              <w:spacing w:before="0" w:after="283"/>
              <w:jc w:val="center"/>
              <w:rPr>
                <w:i/>
                <w:sz w:val="20"/>
              </w:rPr>
            </w:pPr>
            <w:r>
              <w:rPr>
                <w:i/>
                <w:sz w:val="20"/>
              </w:rPr>
              <w:t>(Principal Financial and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REPRESENTATIVE IN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undersigned, the duly authorized representative in the United States of Canadian Solar Inc., has signed this Registration Statement on September 21, 2026.</w:t>
      </w:r>
    </w:p>
    <w:p>
      <w:pPr>
        <w:pStyle w:val="TextBody"/>
        <w:bidi w:val="0"/>
        <w:spacing w:before="0" w:after="0"/>
        <w:ind w:left="0" w:right="0" w:hanging="0"/>
        <w:jc w:val="left"/>
        <w:rPr>
          <w:caps w:val="false"/>
          <w:smallCaps w:val="false"/>
        </w:rPr>
      </w:pPr>
      <w:r>
        <w:rPr>
          <w:caps w:val="false"/>
          <w:smallCaps w:val="false"/>
        </w:rPr>
        <w:t> </w:t>
      </w:r>
    </w:p>
    <w:tbl>
      <w:tblPr>
        <w:tblW w:w="3865" w:type="dxa"/>
        <w:jc w:val="left"/>
        <w:tblInd w:w="0" w:type="dxa"/>
        <w:tblLayout w:type="fixed"/>
        <w:tblCellMar>
          <w:top w:w="0" w:type="dxa"/>
          <w:left w:w="0" w:type="dxa"/>
          <w:bottom w:w="0" w:type="dxa"/>
          <w:right w:w="0" w:type="dxa"/>
        </w:tblCellMar>
      </w:tblPr>
      <w:tblGrid>
        <w:gridCol w:w="75"/>
        <w:gridCol w:w="545"/>
        <w:gridCol w:w="3245"/>
      </w:tblGrid>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Authorized United States Representative</w:t>
            </w:r>
          </w:p>
        </w:tc>
      </w:tr>
      <w:tr>
        <w:trPr/>
        <w:tc>
          <w:tcPr>
            <w:tcW w:w="75" w:type="dxa"/>
            <w:tcBorders/>
            <w:vAlign w:val="center"/>
          </w:tcPr>
          <w:p>
            <w:pPr>
              <w:pStyle w:val="TableContents"/>
              <w:bidi w:val="0"/>
              <w:spacing w:before="0" w:after="283"/>
              <w:jc w:val="left"/>
              <w:rPr/>
            </w:pPr>
            <w:r>
              <w:rPr/>
              <w:t> </w:t>
            </w:r>
          </w:p>
        </w:tc>
        <w:tc>
          <w:tcPr>
            <w:tcW w:w="379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24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Yu Chen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245" w:type="dxa"/>
            <w:tcBorders/>
            <w:vAlign w:val="center"/>
          </w:tcPr>
          <w:p>
            <w:pPr>
              <w:pStyle w:val="TableContents"/>
              <w:bidi w:val="0"/>
              <w:spacing w:before="0" w:after="283"/>
              <w:jc w:val="left"/>
              <w:rPr>
                <w:sz w:val="20"/>
              </w:rPr>
            </w:pPr>
            <w:r>
              <w:rPr>
                <w:sz w:val="20"/>
              </w:rPr>
              <w:t>Yu Chen</w:t>
            </w:r>
          </w:p>
        </w:tc>
      </w:tr>
      <w:tr>
        <w:trPr/>
        <w:tc>
          <w:tcPr>
            <w:tcW w:w="7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245" w:type="dxa"/>
            <w:tcBorders/>
            <w:vAlign w:val="center"/>
          </w:tcPr>
          <w:p>
            <w:pPr>
              <w:pStyle w:val="TableContents"/>
              <w:bidi w:val="0"/>
              <w:spacing w:before="0" w:after="283"/>
              <w:jc w:val="left"/>
              <w:rPr>
                <w:sz w:val="20"/>
              </w:rPr>
            </w:pPr>
            <w:r>
              <w:rPr>
                <w:sz w:val="20"/>
              </w:rPr>
              <w:t>Vice President &amp; Lead 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 w:name="tm2624986d1_ex5-1.htm"/>
      <w:bookmarkStart w:id="4" w:name="kstm2624986d1_ex51"/>
      <w:bookmarkEnd w:id="3"/>
      <w:bookmarkEnd w:id="4"/>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6200" w:type="dxa"/>
        <w:jc w:val="left"/>
        <w:tblInd w:w="0" w:type="dxa"/>
        <w:tblLayout w:type="fixed"/>
        <w:tblCellMar>
          <w:top w:w="0" w:type="dxa"/>
          <w:left w:w="0" w:type="dxa"/>
          <w:bottom w:w="0" w:type="dxa"/>
          <w:right w:w="0" w:type="dxa"/>
        </w:tblCellMar>
      </w:tblPr>
      <w:tblGrid>
        <w:gridCol w:w="2120"/>
        <w:gridCol w:w="60"/>
        <w:gridCol w:w="4020"/>
      </w:tblGrid>
      <w:tr>
        <w:trPr/>
        <w:tc>
          <w:tcPr>
            <w:tcW w:w="2120" w:type="dxa"/>
            <w:tcBorders/>
            <w:vAlign w:val="center"/>
          </w:tcPr>
          <w:p>
            <w:pPr>
              <w:pStyle w:val="TableContents"/>
              <w:bidi w:val="0"/>
              <w:spacing w:before="0" w:after="283"/>
              <w:jc w:val="left"/>
              <w:rPr/>
            </w:pPr>
            <w:r>
              <w:rPr/>
              <w:t>Barristers &amp; Solicitors</w:t>
            </w:r>
          </w:p>
        </w:tc>
        <w:tc>
          <w:tcPr>
            <w:tcW w:w="60" w:type="dxa"/>
            <w:tcBorders/>
            <w:vAlign w:val="center"/>
          </w:tcPr>
          <w:p>
            <w:pPr>
              <w:pStyle w:val="TableContents"/>
              <w:bidi w:val="0"/>
              <w:spacing w:before="0" w:after="283"/>
              <w:jc w:val="left"/>
              <w:rPr/>
            </w:pPr>
            <w:r>
              <w:rPr/>
              <w:t> </w:t>
            </w:r>
          </w:p>
        </w:tc>
        <w:tc>
          <w:tcPr>
            <w:tcW w:w="4020" w:type="dxa"/>
            <w:tcBorders/>
            <w:vAlign w:val="center"/>
          </w:tcPr>
          <w:p>
            <w:pPr>
              <w:pStyle w:val="TableContents"/>
              <w:bidi w:val="0"/>
              <w:spacing w:before="0" w:after="283"/>
              <w:jc w:val="right"/>
              <w:rPr/>
            </w:pPr>
            <w:r>
              <w:rPr/>
              <w:drawing>
                <wp:inline distT="0" distB="0" distL="0" distR="0">
                  <wp:extent cx="254317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3"/>
                          <a:stretch>
                            <a:fillRect/>
                          </a:stretch>
                        </pic:blipFill>
                        <pic:spPr bwMode="auto">
                          <a:xfrm>
                            <a:off x="0" y="0"/>
                            <a:ext cx="2543175" cy="419100"/>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Solar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4273 King Street East, Suite 102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Kitchener, 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N2P 2E9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w:t>
        <w:tab/>
        <w:t>     Canadian Solar Inc.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legal counsel in Canada to the Company, a corporation continued under the laws of the Province of Ontario, Canada, in connection with a registration statement on Form S-8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dated September 21, 2026 to be filed with the U.S.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xml:space="preserve">”) relating to the registration under the </w:t>
      </w:r>
      <w:r>
        <w:rPr>
          <w:rFonts w:ascii="Times New Roman;Times;Serif" w:hAnsi="Times New Roman;Times;Serif"/>
          <w:b w:val="false"/>
          <w:i/>
          <w:caps w:val="false"/>
          <w:smallCaps w:val="false"/>
          <w:sz w:val="20"/>
        </w:rPr>
        <w:t>U.S. Securities Act of 1933</w:t>
      </w:r>
      <w:r>
        <w:rPr>
          <w:rFonts w:ascii="Times New Roman;Times;Serif" w:hAnsi="Times New Roman;Times;Serif"/>
          <w:b w:val="false"/>
          <w:i w:val="false"/>
          <w:caps w:val="false"/>
          <w:smallCaps w:val="false"/>
          <w:sz w:val="20"/>
        </w:rPr>
        <w:t>,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an amount of common shares in the capital of the Company (the “</w:t>
      </w:r>
      <w:r>
        <w:rPr>
          <w:rFonts w:ascii="Times New Roman;Times;Serif" w:hAnsi="Times New Roman;Times;Serif"/>
          <w:b/>
          <w:i w:val="false"/>
          <w:caps w:val="false"/>
          <w:smallCaps w:val="false"/>
          <w:sz w:val="20"/>
        </w:rPr>
        <w:t>Common Shares</w:t>
      </w:r>
      <w:r>
        <w:rPr>
          <w:rFonts w:ascii="Times New Roman;Times;Serif" w:hAnsi="Times New Roman;Times;Serif"/>
          <w:b w:val="false"/>
          <w:i w:val="false"/>
          <w:caps w:val="false"/>
          <w:smallCaps w:val="false"/>
          <w:sz w:val="20"/>
        </w:rPr>
        <w:t>”) for issuance pursuant to the amended and restated share incentive plan of the Company (the “</w:t>
      </w:r>
      <w:r>
        <w:rPr>
          <w:rFonts w:ascii="Times New Roman;Times;Serif" w:hAnsi="Times New Roman;Times;Serif"/>
          <w:b/>
          <w:i w:val="false"/>
          <w:caps w:val="false"/>
          <w:smallCaps w:val="false"/>
          <w:sz w:val="20"/>
        </w:rPr>
        <w:t>Plan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Share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Canadian counsel to the Company, we have examined the corporate authorizations of the Company in connection with the Plan and the issue of the Common Shares by the Company and have assumed that the Common Shares will be issued in accordance with the Plan and the resolutions authorizing their issue.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our opinion that the Common Shares to be issued by the Company under the Plan have been duly and validly authorized, and when issued, sold and paid for in the manner described in the Plan and in accordance with the resolutions adopted by the Board of Directors of the Company (or any committee to whom the Board of Directors have delegated their powers with respect to administration of the Plan) and when appropriate entries have been made in the securities register recording the shareholders of the Company, will be legally issued, fully paid and non-assessable.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this opinion as an exhibit to the Registration Statement and further consent to all references to us in the Registration Statement and any amendments thereto. In giving such consent, we do not consider that we are “experts” within the meaning of such term as used in the Securities Act, or the rules and regulations of the Commission issued thereunder, with respect to any part of the Registration Statement, including this opinion as an exhibit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truly,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WeirFoulds LLP</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7333"/>
        <w:gridCol w:w="2872"/>
      </w:tblGrid>
      <w:tr>
        <w:trPr/>
        <w:tc>
          <w:tcPr>
            <w:tcW w:w="7333"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4100 - 66 Wellington Street West, PO Box 35, TD Bank Tower, Toronto, Ontario, Canada. M5K 1B7</w:t>
            </w:r>
          </w:p>
        </w:tc>
        <w:tc>
          <w:tcPr>
            <w:tcW w:w="2872"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 416-365-1110    F: 416-365-1876</w:t>
            </w:r>
          </w:p>
        </w:tc>
      </w:tr>
      <w:tr>
        <w:trPr/>
        <w:tc>
          <w:tcPr>
            <w:tcW w:w="7333"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2872"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www.weirfoulds.com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624986d1_ex23-1.htm"/>
      <w:bookmarkStart w:id="6" w:name="kstm2624986d1_ex231"/>
      <w:bookmarkEnd w:id="5"/>
      <w:bookmarkEnd w:id="6"/>
      <w:r>
        <w:rPr/>
        <w:t> </w:t>
      </w:r>
      <w:r>
        <w:br w:type="page"/>
      </w:r>
    </w:p>
    <w:p>
      <w:pPr>
        <w:pStyle w:val="TextBody"/>
        <w:bidi w:val="0"/>
        <w:jc w:val="right"/>
        <w:rPr>
          <w:b/>
        </w:rPr>
      </w:pPr>
      <w:r>
        <w:rPr>
          <w:b/>
        </w:rPr>
        <w:t>Exhibit 23.1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consent to the </w:t>
      </w:r>
      <w:r>
        <w:rPr>
          <w:rFonts w:ascii="Times New Roman;Times;Serif" w:hAnsi="Times New Roman;Times;Serif"/>
          <w:b w:val="false"/>
          <w:i w:val="false"/>
          <w:caps w:val="false"/>
          <w:smallCaps w:val="false"/>
          <w:sz w:val="20"/>
          <w:shd w:fill="FFFFFF" w:val="clear"/>
        </w:rPr>
        <w:t>incorporation by reference</w:t>
      </w:r>
      <w:r>
        <w:rPr>
          <w:rFonts w:ascii="Times New Roman;Times;Serif" w:hAnsi="Times New Roman;Times;Serif"/>
          <w:b w:val="false"/>
          <w:i w:val="false"/>
          <w:caps w:val="false"/>
          <w:smallCaps w:val="false"/>
          <w:sz w:val="20"/>
        </w:rPr>
        <w:t xml:space="preserve"> in the Registration Statement on Form S-8 of our reports dated April 10, 2026, relating to the financial statements of Canadian Solar Inc. and subsidiaries (the “Company”), and the effectiveness of the Company’s internal control over financial reporting, appearing in the Annual Report on Form 20-F of Canadian Solar Inc.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Deloitte Touche Tohmatsu Certified Public Accountants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Normal"/>
        <w:bidi w:val="0"/>
        <w:spacing w:before="0" w:after="0"/>
        <w:jc w:val="left"/>
        <w:rPr>
          <w:sz w:val="4"/>
          <w:szCs w:val="4"/>
        </w:rPr>
      </w:pPr>
      <w:r>
        <w:rPr>
          <w:sz w:val="4"/>
          <w:szCs w:val="4"/>
        </w:rPr>
      </w:r>
      <w:bookmarkStart w:id="7" w:name="tm2624986d1_ex-filingfees.htm"/>
      <w:bookmarkStart w:id="8" w:name="kstm2624986d1_exfilingfees"/>
      <w:bookmarkStart w:id="9" w:name="tm2624986d1_ex-filingfees.htm"/>
      <w:bookmarkStart w:id="10" w:name="kstm2624986d1_exfilingfees"/>
      <w:bookmarkEnd w:id="9"/>
      <w:bookmarkEnd w:id="10"/>
      <w:r>
        <w:br w:type="page"/>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Canadian Solar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28"/>
        <w:gridCol w:w="1294"/>
        <w:gridCol w:w="1203"/>
        <w:gridCol w:w="1220"/>
        <w:gridCol w:w="1705"/>
        <w:gridCol w:w="1127"/>
        <w:gridCol w:w="1429"/>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8"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20"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5"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9"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28" w:type="dxa"/>
            <w:tcBorders/>
            <w:shd w:fill="E7E7E2" w:val="clear"/>
            <w:vAlign w:val="center"/>
          </w:tcPr>
          <w:p>
            <w:pPr>
              <w:pStyle w:val="TableContents"/>
              <w:bidi w:val="0"/>
              <w:spacing w:before="0" w:after="283"/>
              <w:jc w:val="left"/>
              <w:rPr/>
            </w:pPr>
            <w:r>
              <w:rPr/>
              <w:t xml:space="preserve">Common Shares, no par value </w:t>
            </w:r>
          </w:p>
        </w:tc>
        <w:tc>
          <w:tcPr>
            <w:tcW w:w="1294" w:type="dxa"/>
            <w:tcBorders/>
            <w:shd w:fill="E7E7E2" w:val="clear"/>
            <w:vAlign w:val="center"/>
          </w:tcPr>
          <w:p>
            <w:pPr>
              <w:pStyle w:val="TableContents"/>
              <w:bidi w:val="0"/>
              <w:spacing w:before="0" w:after="283"/>
              <w:jc w:val="center"/>
              <w:rPr/>
            </w:pPr>
            <w:r>
              <w:rPr/>
              <w:t xml:space="preserve">Other </w:t>
            </w:r>
          </w:p>
        </w:tc>
        <w:tc>
          <w:tcPr>
            <w:tcW w:w="1203" w:type="dxa"/>
            <w:tcBorders/>
            <w:shd w:fill="E7E7E2" w:val="clear"/>
            <w:vAlign w:val="center"/>
          </w:tcPr>
          <w:p>
            <w:pPr>
              <w:pStyle w:val="TableContents"/>
              <w:bidi w:val="0"/>
              <w:spacing w:before="0" w:after="283"/>
              <w:jc w:val="right"/>
              <w:rPr/>
            </w:pPr>
            <w:r>
              <w:rPr/>
              <w:t xml:space="preserve">4,000,000 </w:t>
            </w:r>
          </w:p>
        </w:tc>
        <w:tc>
          <w:tcPr>
            <w:tcW w:w="1220" w:type="dxa"/>
            <w:tcBorders/>
            <w:shd w:fill="E7E7E2" w:val="clear"/>
            <w:vAlign w:val="center"/>
          </w:tcPr>
          <w:p>
            <w:pPr>
              <w:pStyle w:val="TableContents"/>
              <w:bidi w:val="0"/>
              <w:spacing w:before="0" w:after="283"/>
              <w:jc w:val="right"/>
              <w:rPr/>
            </w:pPr>
            <w:r>
              <w:rPr/>
              <w:t xml:space="preserve">$ 11.775 </w:t>
            </w:r>
          </w:p>
        </w:tc>
        <w:tc>
          <w:tcPr>
            <w:tcW w:w="1705" w:type="dxa"/>
            <w:tcBorders/>
            <w:shd w:fill="E7E7E2" w:val="clear"/>
            <w:vAlign w:val="center"/>
          </w:tcPr>
          <w:p>
            <w:pPr>
              <w:pStyle w:val="TableContents"/>
              <w:bidi w:val="0"/>
              <w:spacing w:before="0" w:after="283"/>
              <w:jc w:val="right"/>
              <w:rPr/>
            </w:pPr>
            <w:r>
              <w:rPr/>
              <w:t xml:space="preserve">$ 47,100,000.00 </w:t>
            </w:r>
          </w:p>
        </w:tc>
        <w:tc>
          <w:tcPr>
            <w:tcW w:w="1127" w:type="dxa"/>
            <w:tcBorders/>
            <w:shd w:fill="E7E7E2" w:val="clear"/>
            <w:vAlign w:val="center"/>
          </w:tcPr>
          <w:p>
            <w:pPr>
              <w:pStyle w:val="TableContents"/>
              <w:bidi w:val="0"/>
              <w:spacing w:before="0" w:after="283"/>
              <w:jc w:val="right"/>
              <w:rPr/>
            </w:pPr>
            <w:r>
              <w:rPr/>
              <w:t xml:space="preserve">0.0001381 </w:t>
            </w:r>
          </w:p>
        </w:tc>
        <w:tc>
          <w:tcPr>
            <w:tcW w:w="1429" w:type="dxa"/>
            <w:tcBorders/>
            <w:shd w:fill="E7E7E2" w:val="clear"/>
            <w:vAlign w:val="center"/>
          </w:tcPr>
          <w:p>
            <w:pPr>
              <w:pStyle w:val="TableContents"/>
              <w:bidi w:val="0"/>
              <w:spacing w:before="0" w:after="283"/>
              <w:jc w:val="right"/>
              <w:rPr/>
            </w:pPr>
            <w:r>
              <w:rPr/>
              <w:t xml:space="preserve">$ 6,504.51 </w:t>
            </w:r>
          </w:p>
        </w:tc>
      </w:tr>
      <w:tr>
        <w:trPr/>
        <w:tc>
          <w:tcPr>
            <w:tcW w:w="4724" w:type="dxa"/>
            <w:gridSpan w:val="5"/>
            <w:tcBorders/>
            <w:vAlign w:val="center"/>
          </w:tcPr>
          <w:p>
            <w:pPr>
              <w:pStyle w:val="TableContents"/>
              <w:bidi w:val="0"/>
              <w:spacing w:before="0" w:after="0"/>
              <w:ind w:left="0" w:right="0" w:hanging="0"/>
              <w:jc w:val="right"/>
              <w:rPr/>
            </w:pPr>
            <w:r>
              <w:rPr/>
              <w:t>Total Offering Amounts:</w:t>
            </w:r>
          </w:p>
        </w:tc>
        <w:tc>
          <w:tcPr>
            <w:tcW w:w="122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0"/>
              <w:ind w:left="0" w:right="0" w:hanging="0"/>
              <w:jc w:val="right"/>
              <w:rPr/>
            </w:pPr>
            <w:bookmarkStart w:id="11" w:name="MaxAggtOfferingPrice"/>
            <w:bookmarkEnd w:id="11"/>
            <w:r>
              <w:rPr/>
              <w:t xml:space="preserve">$ 47,100,000.00 </w:t>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2" w:name="TotalFeeAmt"/>
            <w:bookmarkEnd w:id="12"/>
            <w:r>
              <w:rPr/>
              <w:t xml:space="preserve">$ 6,504.51 </w:t>
            </w:r>
          </w:p>
        </w:tc>
      </w:tr>
      <w:tr>
        <w:trPr/>
        <w:tc>
          <w:tcPr>
            <w:tcW w:w="4724" w:type="dxa"/>
            <w:gridSpan w:val="5"/>
            <w:tcBorders/>
            <w:vAlign w:val="center"/>
          </w:tcPr>
          <w:p>
            <w:pPr>
              <w:pStyle w:val="TableContents"/>
              <w:bidi w:val="0"/>
              <w:spacing w:before="0" w:after="0"/>
              <w:ind w:left="0" w:right="0" w:hanging="0"/>
              <w:jc w:val="right"/>
              <w:rPr/>
            </w:pPr>
            <w:r>
              <w:rPr/>
              <w:t xml:space="preserve">Total Fee Offsets: </w:t>
            </w:r>
          </w:p>
        </w:tc>
        <w:tc>
          <w:tcPr>
            <w:tcW w:w="122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3" w:name="TotalOffsetAmt"/>
            <w:bookmarkEnd w:id="13"/>
            <w:r>
              <w:rPr/>
              <w:t xml:space="preserve">$ 0.00 </w:t>
            </w:r>
          </w:p>
        </w:tc>
      </w:tr>
      <w:tr>
        <w:trPr/>
        <w:tc>
          <w:tcPr>
            <w:tcW w:w="4724" w:type="dxa"/>
            <w:gridSpan w:val="5"/>
            <w:tcBorders/>
            <w:vAlign w:val="center"/>
          </w:tcPr>
          <w:p>
            <w:pPr>
              <w:pStyle w:val="TableContents"/>
              <w:bidi w:val="0"/>
              <w:spacing w:before="0" w:after="0"/>
              <w:ind w:left="0" w:right="0" w:hanging="0"/>
              <w:jc w:val="right"/>
              <w:rPr/>
            </w:pPr>
            <w:r>
              <w:rPr/>
              <w:t xml:space="preserve">Net Fee Due: </w:t>
            </w:r>
          </w:p>
        </w:tc>
        <w:tc>
          <w:tcPr>
            <w:tcW w:w="1220" w:type="dxa"/>
            <w:tcBorders/>
            <w:vAlign w:val="center"/>
          </w:tcPr>
          <w:p>
            <w:pPr>
              <w:pStyle w:val="TableContents"/>
              <w:bidi w:val="0"/>
              <w:spacing w:before="0" w:after="283"/>
              <w:jc w:val="left"/>
              <w:rPr>
                <w:sz w:val="4"/>
                <w:szCs w:val="4"/>
              </w:rPr>
            </w:pPr>
            <w:r>
              <w:rPr>
                <w:sz w:val="4"/>
                <w:szCs w:val="4"/>
              </w:rPr>
            </w:r>
          </w:p>
        </w:tc>
        <w:tc>
          <w:tcPr>
            <w:tcW w:w="170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0"/>
              <w:ind w:left="0" w:right="0" w:hanging="0"/>
              <w:jc w:val="right"/>
              <w:rPr/>
            </w:pPr>
            <w:bookmarkStart w:id="14" w:name="NetFeeAmt"/>
            <w:bookmarkEnd w:id="14"/>
            <w:r>
              <w:rPr/>
              <w:t xml:space="preserve">$ 6,504.51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4"/>
        <w:gridCol w:w="8711"/>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Represents Common Shares issuable pursuant to awards (including the exercise of any options granted) under the Canadian Solar Inc. Amended and Restated Share Incentive Plan (the "Plan"). In addition, pursuant to Rule 416 of the Securities Act of 1933, as amended (the "Securities Act"), this Registration Statement also covers any additional shares of the Company's Common Stock that may become issuable under the Plan by reason of any substitutions or adjustments to shares to account for any change in corporate capitalization, such as a reorganization, recapitalization, liquidation, stock dividend, stock split, or other distribution of stock or property of the Company, combination or exchange of shares of Common Stock, dividend in kind, or other like change in capital structure. Calculated solely for the purpose of determining the registration fee pursuant to Rule 457(c) and (h) under the Securities Act of 1933, as amended (the "Securities Act"), on the basis of the average of the high and low prices ($12.02 and $11.53) of the Company's Common Shares as quoted on the Nasdaq Global Select Market on September 17, 2026. </w:t>
            </w:r>
          </w:p>
        </w:tc>
      </w:tr>
      <w:tr>
        <w:trPr/>
        <w:tc>
          <w:tcPr>
            <w:tcW w:w="1494" w:type="dxa"/>
            <w:gridSpan w:val="2"/>
            <w:tcBorders/>
            <w:vAlign w:val="center"/>
          </w:tcPr>
          <w:p>
            <w:pPr>
              <w:pStyle w:val="HorizontalLine"/>
              <w:pBdr>
                <w:bottom w:val="double" w:sz="2" w:space="0" w:color="808080"/>
              </w:pBdr>
              <w:bidi w:val="0"/>
              <w:spacing w:before="0" w:after="283"/>
              <w:jc w:val="left"/>
              <w:rPr/>
            </w:pPr>
            <w:r>
              <w:rPr/>
            </w:r>
          </w:p>
        </w:tc>
        <w:tc>
          <w:tcPr>
            <w:tcW w:w="8711"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75877/000114554907001846/h01572sv8.htm" TargetMode="External"/><Relationship Id="rId3" Type="http://schemas.openxmlformats.org/officeDocument/2006/relationships/hyperlink" Target="https://www.sec.gov/Archives/edgar/data/1375877/000119312511322054/d256826ds8.htm" TargetMode="External"/><Relationship Id="rId4" Type="http://schemas.openxmlformats.org/officeDocument/2006/relationships/hyperlink" Target="https://www.sec.gov/Archives/edgar/data/1375877/000110465915005500/a15-3365_1s8.htm" TargetMode="External"/><Relationship Id="rId5" Type="http://schemas.openxmlformats.org/officeDocument/2006/relationships/hyperlink" Target="https://www.sec.gov/ix?doc=/Archives/edgar/data/1375877/000110465926041976/csiq-20251231x20f.htm" TargetMode="External"/><Relationship Id="rId6" Type="http://schemas.openxmlformats.org/officeDocument/2006/relationships/hyperlink" Target="https://www.sec.gov/Archives/edgar/data/1375877/000110465923046692/csiq-20221231xex2d2.htm" TargetMode="External"/><Relationship Id="rId7" Type="http://schemas.openxmlformats.org/officeDocument/2006/relationships/hyperlink" Target="https://www.sec.gov/Archives/edgar/data/1375877/000110465923046692/csiq-20221231xex1d1.htm" TargetMode="External"/><Relationship Id="rId8" Type="http://schemas.openxmlformats.org/officeDocument/2006/relationships/hyperlink" Target="https://www.sec.gov/Archives/edgar/data/1375877/000110465923046692/csiq-20221231xex1d1.htm" TargetMode="External"/><Relationship Id="rId9" Type="http://schemas.openxmlformats.org/officeDocument/2006/relationships/hyperlink" Target="https://www.sec.gov/Archives/edgar/data/1375877/000110465923046692/csiq-20221231xex2d2.htm" TargetMode="External"/><Relationship Id="rId10" Type="http://schemas.openxmlformats.org/officeDocument/2006/relationships/hyperlink" Target="https://www.sec.gov/Archives/edgar/data/1375877/000110465923046692/csiq-20221231xex2d2.htm" TargetMode="External"/><Relationship Id="rId11" Type="http://schemas.openxmlformats.org/officeDocument/2006/relationships/hyperlink" Target="https://www.sec.gov/Archives/edgar/data/1375877/000104746917002970/a2230964zex-4_1.htm" TargetMode="External"/><Relationship Id="rId12" Type="http://schemas.openxmlformats.org/officeDocument/2006/relationships/hyperlink" Target="https://www.sec.gov/Archives/edgar/data/1375877/000104746917002970/a2230964zex-4_1.htm" TargetMode="External"/><Relationship Id="rId13" Type="http://schemas.openxmlformats.org/officeDocument/2006/relationships/image" Target="media/image1.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2113</Words>
  <Characters>11280</Characters>
  <CharactersWithSpaces>13441</CharactersWithSpaces>
  <Paragraphs>401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